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BF6" w:rsidRPr="001D462F" w:rsidRDefault="00CA2BF6" w:rsidP="00CA2BF6">
      <w:pPr>
        <w:rPr>
          <w:b/>
        </w:rPr>
      </w:pPr>
    </w:p>
    <w:p w:rsidR="00CA2BF6" w:rsidRPr="001D462F" w:rsidRDefault="00CA2BF6" w:rsidP="00CA2BF6">
      <w:pPr>
        <w:pStyle w:val="GeneralHeading"/>
      </w:pPr>
      <w:bookmarkStart w:id="0" w:name="_Toc521937452"/>
      <w:r>
        <w:t>Specific Conditions</w:t>
      </w:r>
      <w:bookmarkEnd w:id="0"/>
    </w:p>
    <w:p w:rsidR="00CA2BF6" w:rsidRPr="001D462F" w:rsidRDefault="00CA2BF6" w:rsidP="00CA2BF6">
      <w:pPr>
        <w:rPr>
          <w:i/>
        </w:rPr>
      </w:pPr>
    </w:p>
    <w:p w:rsidR="00CA2BF6" w:rsidRPr="001D462F" w:rsidRDefault="00CA2BF6" w:rsidP="00CA2BF6">
      <w:pPr>
        <w:pStyle w:val="Heading1"/>
        <w:numPr>
          <w:ilvl w:val="0"/>
          <w:numId w:val="0"/>
        </w:numPr>
        <w:ind w:left="432" w:hanging="432"/>
      </w:pPr>
      <w:bookmarkStart w:id="1" w:name="_Toc521937453"/>
      <w:r w:rsidRPr="001D462F">
        <w:t>Indicator 1.1</w:t>
      </w:r>
      <w:bookmarkEnd w:id="1"/>
    </w:p>
    <w:p w:rsidR="00CA2BF6" w:rsidRPr="001D462F" w:rsidRDefault="00CA2BF6" w:rsidP="00CA2BF6"/>
    <w:tbl>
      <w:tblPr>
        <w:tblpPr w:leftFromText="180" w:rightFromText="180" w:vertAnchor="text" w:tblpX="-658" w:tblpY="1"/>
        <w:tblOverlap w:val="neve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4"/>
        <w:gridCol w:w="3160"/>
        <w:gridCol w:w="4876"/>
      </w:tblGrid>
      <w:tr w:rsidR="00CA2BF6" w:rsidRPr="001F5FB2" w:rsidTr="00220FD0">
        <w:tc>
          <w:tcPr>
            <w:tcW w:w="2374" w:type="dxa"/>
            <w:tcBorders>
              <w:top w:val="single" w:sz="4" w:space="0" w:color="auto"/>
              <w:left w:val="single" w:sz="4" w:space="0" w:color="auto"/>
              <w:bottom w:val="single" w:sz="4" w:space="0" w:color="auto"/>
              <w:right w:val="single" w:sz="4" w:space="0" w:color="auto"/>
            </w:tcBorders>
            <w:shd w:val="clear" w:color="auto" w:fill="E6E6E6"/>
          </w:tcPr>
          <w:p w:rsidR="00CA2BF6" w:rsidRPr="001F5FB2" w:rsidRDefault="00CA2BF6" w:rsidP="00220FD0">
            <w:pPr>
              <w:rPr>
                <w:b/>
              </w:rPr>
            </w:pPr>
            <w:r w:rsidRPr="001F5FB2">
              <w:rPr>
                <w:b/>
              </w:rPr>
              <w:t>Tranche</w:t>
            </w:r>
          </w:p>
        </w:tc>
        <w:tc>
          <w:tcPr>
            <w:tcW w:w="8036" w:type="dxa"/>
            <w:gridSpan w:val="2"/>
            <w:tcBorders>
              <w:top w:val="single" w:sz="4" w:space="0" w:color="auto"/>
              <w:left w:val="single" w:sz="4" w:space="0" w:color="auto"/>
              <w:bottom w:val="single" w:sz="4" w:space="0" w:color="auto"/>
              <w:right w:val="single" w:sz="4" w:space="0" w:color="auto"/>
            </w:tcBorders>
            <w:shd w:val="clear" w:color="auto" w:fill="auto"/>
          </w:tcPr>
          <w:p w:rsidR="00CA2BF6" w:rsidRPr="001F5FB2" w:rsidRDefault="00CA2BF6" w:rsidP="00220FD0">
            <w:pPr>
              <w:rPr>
                <w:b/>
              </w:rPr>
            </w:pPr>
            <w:r w:rsidRPr="001F5FB2">
              <w:rPr>
                <w:i/>
              </w:rPr>
              <w:t>2</w:t>
            </w:r>
            <w:r w:rsidRPr="001F5FB2">
              <w:rPr>
                <w:i/>
                <w:vertAlign w:val="superscript"/>
              </w:rPr>
              <w:t>nd</w:t>
            </w:r>
            <w:r w:rsidRPr="001F5FB2">
              <w:rPr>
                <w:i/>
              </w:rPr>
              <w:t>Variable</w:t>
            </w:r>
          </w:p>
        </w:tc>
      </w:tr>
      <w:tr w:rsidR="00CA2BF6" w:rsidRPr="001F5FB2" w:rsidTr="00220FD0">
        <w:tc>
          <w:tcPr>
            <w:tcW w:w="2374" w:type="dxa"/>
            <w:tcBorders>
              <w:top w:val="single" w:sz="4" w:space="0" w:color="auto"/>
              <w:left w:val="single" w:sz="4" w:space="0" w:color="auto"/>
              <w:bottom w:val="single" w:sz="4" w:space="0" w:color="auto"/>
              <w:right w:val="single" w:sz="4" w:space="0" w:color="auto"/>
            </w:tcBorders>
            <w:shd w:val="clear" w:color="auto" w:fill="E6E6E6"/>
          </w:tcPr>
          <w:p w:rsidR="00CA2BF6" w:rsidRPr="001F5FB2" w:rsidRDefault="00CA2BF6" w:rsidP="00220FD0">
            <w:pPr>
              <w:rPr>
                <w:b/>
              </w:rPr>
            </w:pPr>
            <w:r w:rsidRPr="001F5FB2">
              <w:rPr>
                <w:b/>
              </w:rPr>
              <w:t>Objective I</w:t>
            </w:r>
          </w:p>
        </w:tc>
        <w:tc>
          <w:tcPr>
            <w:tcW w:w="8036" w:type="dxa"/>
            <w:gridSpan w:val="2"/>
            <w:tcBorders>
              <w:top w:val="single" w:sz="4" w:space="0" w:color="auto"/>
              <w:left w:val="single" w:sz="4" w:space="0" w:color="auto"/>
              <w:bottom w:val="single" w:sz="4" w:space="0" w:color="auto"/>
              <w:right w:val="single" w:sz="4" w:space="0" w:color="auto"/>
            </w:tcBorders>
            <w:shd w:val="clear" w:color="auto" w:fill="auto"/>
          </w:tcPr>
          <w:p w:rsidR="00CA2BF6" w:rsidRPr="001F5FB2" w:rsidRDefault="00CA2BF6" w:rsidP="00220FD0">
            <w:pPr>
              <w:rPr>
                <w:b/>
              </w:rPr>
            </w:pPr>
            <w:r w:rsidRPr="001F5FB2">
              <w:rPr>
                <w:i/>
              </w:rPr>
              <w:t>“Enhance policy development and coordination in the central public administration”</w:t>
            </w:r>
          </w:p>
        </w:tc>
      </w:tr>
      <w:tr w:rsidR="00CA2BF6" w:rsidRPr="001F5FB2" w:rsidTr="00220FD0">
        <w:tc>
          <w:tcPr>
            <w:tcW w:w="2374" w:type="dxa"/>
            <w:tcBorders>
              <w:top w:val="single" w:sz="4" w:space="0" w:color="auto"/>
              <w:left w:val="single" w:sz="4" w:space="0" w:color="auto"/>
              <w:bottom w:val="single" w:sz="4" w:space="0" w:color="auto"/>
              <w:right w:val="single" w:sz="4" w:space="0" w:color="auto"/>
            </w:tcBorders>
            <w:shd w:val="clear" w:color="auto" w:fill="E6E6E6"/>
          </w:tcPr>
          <w:p w:rsidR="00CA2BF6" w:rsidRPr="001F5FB2" w:rsidRDefault="00CA2BF6" w:rsidP="00220FD0">
            <w:pPr>
              <w:rPr>
                <w:b/>
              </w:rPr>
            </w:pPr>
            <w:r w:rsidRPr="001F5FB2">
              <w:rPr>
                <w:b/>
              </w:rPr>
              <w:t xml:space="preserve">Expected result: </w:t>
            </w:r>
          </w:p>
        </w:tc>
        <w:tc>
          <w:tcPr>
            <w:tcW w:w="8036" w:type="dxa"/>
            <w:gridSpan w:val="2"/>
            <w:tcBorders>
              <w:top w:val="single" w:sz="4" w:space="0" w:color="auto"/>
              <w:left w:val="single" w:sz="4" w:space="0" w:color="auto"/>
              <w:bottom w:val="single" w:sz="4" w:space="0" w:color="auto"/>
              <w:right w:val="single" w:sz="4" w:space="0" w:color="auto"/>
            </w:tcBorders>
            <w:shd w:val="clear" w:color="auto" w:fill="auto"/>
          </w:tcPr>
          <w:p w:rsidR="00CA2BF6" w:rsidRPr="001F5FB2" w:rsidRDefault="00CA2BF6" w:rsidP="00220FD0">
            <w:pPr>
              <w:rPr>
                <w:b/>
              </w:rPr>
            </w:pPr>
            <w:r w:rsidRPr="001F5FB2">
              <w:t>Improved policy planning, coordination capacities and processes in the central public administration</w:t>
            </w:r>
          </w:p>
        </w:tc>
      </w:tr>
      <w:tr w:rsidR="00CA2BF6" w:rsidRPr="001F5FB2" w:rsidTr="00220FD0">
        <w:tc>
          <w:tcPr>
            <w:tcW w:w="2374" w:type="dxa"/>
            <w:tcBorders>
              <w:top w:val="single" w:sz="4" w:space="0" w:color="auto"/>
              <w:left w:val="single" w:sz="4" w:space="0" w:color="auto"/>
              <w:bottom w:val="single" w:sz="4" w:space="0" w:color="auto"/>
              <w:right w:val="single" w:sz="4" w:space="0" w:color="auto"/>
            </w:tcBorders>
            <w:shd w:val="clear" w:color="auto" w:fill="E6E6E6"/>
          </w:tcPr>
          <w:p w:rsidR="00CA2BF6" w:rsidRPr="001F5FB2" w:rsidRDefault="00CA2BF6" w:rsidP="00220FD0">
            <w:pPr>
              <w:rPr>
                <w:b/>
              </w:rPr>
            </w:pPr>
            <w:r w:rsidRPr="001F5FB2">
              <w:rPr>
                <w:b/>
              </w:rPr>
              <w:t xml:space="preserve">Indicator </w:t>
            </w:r>
          </w:p>
        </w:tc>
        <w:tc>
          <w:tcPr>
            <w:tcW w:w="8036" w:type="dxa"/>
            <w:gridSpan w:val="2"/>
            <w:tcBorders>
              <w:top w:val="single" w:sz="4" w:space="0" w:color="auto"/>
              <w:left w:val="single" w:sz="4" w:space="0" w:color="auto"/>
              <w:bottom w:val="single" w:sz="4" w:space="0" w:color="auto"/>
              <w:right w:val="single" w:sz="4" w:space="0" w:color="auto"/>
            </w:tcBorders>
            <w:shd w:val="clear" w:color="auto" w:fill="auto"/>
          </w:tcPr>
          <w:p w:rsidR="00CA2BF6" w:rsidRPr="001F5FB2" w:rsidRDefault="00CA2BF6" w:rsidP="00220FD0">
            <w:pPr>
              <w:rPr>
                <w:b/>
              </w:rPr>
            </w:pPr>
            <w:r w:rsidRPr="001F5FB2">
              <w:rPr>
                <w:b/>
              </w:rPr>
              <w:t>Evidence of progress in terms of implementation</w:t>
            </w:r>
          </w:p>
        </w:tc>
      </w:tr>
      <w:tr w:rsidR="00CA2BF6" w:rsidRPr="001F5FB2" w:rsidTr="00220FD0">
        <w:tc>
          <w:tcPr>
            <w:tcW w:w="2374" w:type="dxa"/>
            <w:tcBorders>
              <w:top w:val="single" w:sz="4" w:space="0" w:color="auto"/>
              <w:left w:val="single" w:sz="4" w:space="0" w:color="auto"/>
              <w:bottom w:val="single" w:sz="4" w:space="0" w:color="auto"/>
              <w:right w:val="single" w:sz="4" w:space="0" w:color="auto"/>
            </w:tcBorders>
            <w:shd w:val="clear" w:color="auto" w:fill="E6E6E6"/>
          </w:tcPr>
          <w:p w:rsidR="00CA2BF6" w:rsidRPr="001F5FB2" w:rsidRDefault="00CA2BF6" w:rsidP="00220FD0">
            <w:pPr>
              <w:rPr>
                <w:b/>
              </w:rPr>
            </w:pPr>
            <w:r w:rsidRPr="001F5FB2">
              <w:rPr>
                <w:b/>
              </w:rPr>
              <w:t xml:space="preserve">Action </w:t>
            </w:r>
          </w:p>
        </w:tc>
        <w:tc>
          <w:tcPr>
            <w:tcW w:w="8036" w:type="dxa"/>
            <w:gridSpan w:val="2"/>
            <w:tcBorders>
              <w:top w:val="single" w:sz="4" w:space="0" w:color="auto"/>
              <w:left w:val="single" w:sz="4" w:space="0" w:color="auto"/>
              <w:bottom w:val="single" w:sz="4" w:space="0" w:color="auto"/>
              <w:right w:val="single" w:sz="4" w:space="0" w:color="auto"/>
            </w:tcBorders>
            <w:shd w:val="clear" w:color="auto" w:fill="auto"/>
          </w:tcPr>
          <w:p w:rsidR="00CA2BF6" w:rsidRPr="001F5FB2" w:rsidRDefault="00CA2BF6" w:rsidP="00220FD0">
            <w:pPr>
              <w:rPr>
                <w:b/>
              </w:rPr>
            </w:pPr>
            <w:r w:rsidRPr="001F5FB2">
              <w:t>Activities related to objectives 2.2\2.5\2.6 of the PAR Roadmap Action Plan</w:t>
            </w:r>
          </w:p>
        </w:tc>
      </w:tr>
      <w:tr w:rsidR="00CA2BF6" w:rsidRPr="001F5FB2" w:rsidTr="00220FD0">
        <w:tc>
          <w:tcPr>
            <w:tcW w:w="2374" w:type="dxa"/>
            <w:tcBorders>
              <w:top w:val="single" w:sz="4" w:space="0" w:color="auto"/>
              <w:left w:val="single" w:sz="4" w:space="0" w:color="auto"/>
              <w:bottom w:val="single" w:sz="4" w:space="0" w:color="auto"/>
              <w:right w:val="single" w:sz="4" w:space="0" w:color="auto"/>
            </w:tcBorders>
            <w:shd w:val="clear" w:color="auto" w:fill="E6E6E6"/>
          </w:tcPr>
          <w:p w:rsidR="00CA2BF6" w:rsidRPr="001F5FB2" w:rsidRDefault="00CA2BF6" w:rsidP="00220FD0">
            <w:pPr>
              <w:rPr>
                <w:b/>
              </w:rPr>
            </w:pPr>
            <w:r w:rsidRPr="001F5FB2">
              <w:rPr>
                <w:b/>
              </w:rPr>
              <w:t>Entity responsible</w:t>
            </w:r>
          </w:p>
        </w:tc>
        <w:tc>
          <w:tcPr>
            <w:tcW w:w="8036" w:type="dxa"/>
            <w:gridSpan w:val="2"/>
            <w:tcBorders>
              <w:top w:val="single" w:sz="4" w:space="0" w:color="auto"/>
              <w:left w:val="single" w:sz="4" w:space="0" w:color="auto"/>
              <w:bottom w:val="single" w:sz="4" w:space="0" w:color="auto"/>
              <w:right w:val="single" w:sz="4" w:space="0" w:color="auto"/>
            </w:tcBorders>
            <w:shd w:val="clear" w:color="auto" w:fill="auto"/>
          </w:tcPr>
          <w:p w:rsidR="00CA2BF6" w:rsidRPr="001F5FB2" w:rsidRDefault="00CA2BF6" w:rsidP="00220FD0">
            <w:pPr>
              <w:rPr>
                <w:b/>
              </w:rPr>
            </w:pPr>
            <w:r w:rsidRPr="001F5FB2">
              <w:t>Administration of Government (AOG) – Policy Analysis Strategic Planning and Coordination Department</w:t>
            </w:r>
          </w:p>
        </w:tc>
      </w:tr>
      <w:tr w:rsidR="00CA2BF6" w:rsidRPr="001F5FB2" w:rsidTr="00220FD0">
        <w:tc>
          <w:tcPr>
            <w:tcW w:w="10410" w:type="dxa"/>
            <w:gridSpan w:val="3"/>
            <w:tcBorders>
              <w:top w:val="single" w:sz="4" w:space="0" w:color="auto"/>
              <w:left w:val="single" w:sz="4" w:space="0" w:color="auto"/>
              <w:bottom w:val="single" w:sz="4" w:space="0" w:color="auto"/>
              <w:right w:val="single" w:sz="4" w:space="0" w:color="auto"/>
            </w:tcBorders>
            <w:shd w:val="clear" w:color="auto" w:fill="E6E6E6"/>
          </w:tcPr>
          <w:p w:rsidR="00CA2BF6" w:rsidRPr="001F5FB2" w:rsidRDefault="00CA2BF6" w:rsidP="00220FD0">
            <w:pPr>
              <w:rPr>
                <w:b/>
              </w:rPr>
            </w:pPr>
            <w:r w:rsidRPr="001F5FB2">
              <w:rPr>
                <w:b/>
              </w:rPr>
              <w:t xml:space="preserve">Description of the Indicator </w:t>
            </w:r>
          </w:p>
        </w:tc>
      </w:tr>
      <w:tr w:rsidR="00CA2BF6" w:rsidRPr="001F5FB2" w:rsidTr="00220FD0">
        <w:tc>
          <w:tcPr>
            <w:tcW w:w="2374" w:type="dxa"/>
            <w:tcBorders>
              <w:top w:val="single" w:sz="4" w:space="0" w:color="auto"/>
              <w:left w:val="single" w:sz="4" w:space="0" w:color="auto"/>
              <w:bottom w:val="single" w:sz="4" w:space="0" w:color="auto"/>
              <w:right w:val="single" w:sz="4" w:space="0" w:color="auto"/>
            </w:tcBorders>
            <w:shd w:val="clear" w:color="auto" w:fill="E6E6E6"/>
          </w:tcPr>
          <w:p w:rsidR="00CA2BF6" w:rsidRPr="001F5FB2" w:rsidRDefault="00CA2BF6" w:rsidP="00220FD0">
            <w:pPr>
              <w:rPr>
                <w:b/>
              </w:rPr>
            </w:pPr>
            <w:r w:rsidRPr="001F5FB2">
              <w:rPr>
                <w:b/>
              </w:rPr>
              <w:t>Type</w:t>
            </w:r>
          </w:p>
        </w:tc>
        <w:tc>
          <w:tcPr>
            <w:tcW w:w="8036" w:type="dxa"/>
            <w:gridSpan w:val="2"/>
            <w:tcBorders>
              <w:top w:val="single" w:sz="4" w:space="0" w:color="auto"/>
              <w:left w:val="single" w:sz="4" w:space="0" w:color="auto"/>
              <w:bottom w:val="single" w:sz="4" w:space="0" w:color="auto"/>
              <w:right w:val="single" w:sz="4" w:space="0" w:color="auto"/>
            </w:tcBorders>
            <w:shd w:val="clear" w:color="auto" w:fill="auto"/>
          </w:tcPr>
          <w:p w:rsidR="00CA2BF6" w:rsidRPr="001F5FB2" w:rsidRDefault="00CA2BF6" w:rsidP="00220FD0">
            <w:pPr>
              <w:rPr>
                <w:b/>
              </w:rPr>
            </w:pPr>
            <w:r w:rsidRPr="001F5FB2">
              <w:t xml:space="preserve">Quantitative and qualitative </w:t>
            </w:r>
          </w:p>
        </w:tc>
      </w:tr>
      <w:tr w:rsidR="00CA2BF6" w:rsidRPr="001F5FB2" w:rsidTr="00220FD0">
        <w:tc>
          <w:tcPr>
            <w:tcW w:w="2374" w:type="dxa"/>
            <w:tcBorders>
              <w:top w:val="single" w:sz="4" w:space="0" w:color="auto"/>
              <w:left w:val="single" w:sz="4" w:space="0" w:color="auto"/>
              <w:bottom w:val="single" w:sz="4" w:space="0" w:color="auto"/>
              <w:right w:val="single" w:sz="4" w:space="0" w:color="auto"/>
            </w:tcBorders>
            <w:shd w:val="clear" w:color="auto" w:fill="E6E6E6"/>
          </w:tcPr>
          <w:p w:rsidR="00CA2BF6" w:rsidRPr="001F5FB2" w:rsidRDefault="00CA2BF6" w:rsidP="00220FD0">
            <w:pPr>
              <w:rPr>
                <w:b/>
              </w:rPr>
            </w:pPr>
            <w:r w:rsidRPr="001F5FB2">
              <w:rPr>
                <w:b/>
              </w:rPr>
              <w:t>Measurement unit</w:t>
            </w:r>
          </w:p>
        </w:tc>
        <w:tc>
          <w:tcPr>
            <w:tcW w:w="8036" w:type="dxa"/>
            <w:gridSpan w:val="2"/>
            <w:tcBorders>
              <w:top w:val="single" w:sz="4" w:space="0" w:color="auto"/>
              <w:left w:val="single" w:sz="4" w:space="0" w:color="auto"/>
              <w:bottom w:val="single" w:sz="4" w:space="0" w:color="auto"/>
              <w:right w:val="single" w:sz="4" w:space="0" w:color="auto"/>
            </w:tcBorders>
            <w:shd w:val="clear" w:color="auto" w:fill="auto"/>
          </w:tcPr>
          <w:p w:rsidR="00CA2BF6" w:rsidRPr="001F5FB2" w:rsidRDefault="00CA2BF6" w:rsidP="00220FD0">
            <w:pPr>
              <w:rPr>
                <w:b/>
              </w:rPr>
            </w:pPr>
            <w:r w:rsidRPr="001F5FB2">
              <w:t xml:space="preserve">Number of policy structural units with policy planning and analysis capabilities and number of strategies aligned with the new policy planning framework.  </w:t>
            </w:r>
          </w:p>
        </w:tc>
      </w:tr>
      <w:tr w:rsidR="00CA2BF6" w:rsidRPr="001F5FB2" w:rsidTr="00220FD0">
        <w:tc>
          <w:tcPr>
            <w:tcW w:w="2374" w:type="dxa"/>
            <w:tcBorders>
              <w:top w:val="single" w:sz="4" w:space="0" w:color="auto"/>
              <w:left w:val="single" w:sz="4" w:space="0" w:color="auto"/>
              <w:bottom w:val="single" w:sz="4" w:space="0" w:color="auto"/>
              <w:right w:val="single" w:sz="4" w:space="0" w:color="auto"/>
            </w:tcBorders>
            <w:shd w:val="clear" w:color="auto" w:fill="E6E6E6"/>
          </w:tcPr>
          <w:p w:rsidR="00CA2BF6" w:rsidRPr="001F5FB2" w:rsidRDefault="00CA2BF6" w:rsidP="00220FD0">
            <w:pPr>
              <w:rPr>
                <w:b/>
              </w:rPr>
            </w:pPr>
            <w:r w:rsidRPr="001F5FB2">
              <w:rPr>
                <w:b/>
              </w:rPr>
              <w:t>Periodicity</w:t>
            </w:r>
          </w:p>
        </w:tc>
        <w:tc>
          <w:tcPr>
            <w:tcW w:w="8036" w:type="dxa"/>
            <w:gridSpan w:val="2"/>
            <w:tcBorders>
              <w:top w:val="single" w:sz="4" w:space="0" w:color="auto"/>
              <w:left w:val="single" w:sz="4" w:space="0" w:color="auto"/>
              <w:bottom w:val="single" w:sz="4" w:space="0" w:color="auto"/>
              <w:right w:val="single" w:sz="4" w:space="0" w:color="auto"/>
            </w:tcBorders>
            <w:shd w:val="clear" w:color="auto" w:fill="auto"/>
          </w:tcPr>
          <w:p w:rsidR="00CA2BF6" w:rsidRPr="001F5FB2" w:rsidRDefault="00CA2BF6" w:rsidP="00220FD0">
            <w:pPr>
              <w:rPr>
                <w:b/>
              </w:rPr>
            </w:pPr>
            <w:r w:rsidRPr="001F5FB2">
              <w:t>Annual</w:t>
            </w:r>
          </w:p>
        </w:tc>
      </w:tr>
      <w:tr w:rsidR="00CA2BF6" w:rsidRPr="001F5FB2" w:rsidTr="00220FD0">
        <w:tc>
          <w:tcPr>
            <w:tcW w:w="2374" w:type="dxa"/>
            <w:tcBorders>
              <w:top w:val="single" w:sz="4" w:space="0" w:color="auto"/>
              <w:left w:val="single" w:sz="4" w:space="0" w:color="auto"/>
              <w:bottom w:val="single" w:sz="4" w:space="0" w:color="auto"/>
              <w:right w:val="single" w:sz="4" w:space="0" w:color="auto"/>
            </w:tcBorders>
            <w:shd w:val="clear" w:color="auto" w:fill="E6E6E6"/>
          </w:tcPr>
          <w:p w:rsidR="00CA2BF6" w:rsidRPr="001F5FB2" w:rsidRDefault="00CA2BF6" w:rsidP="00220FD0">
            <w:pPr>
              <w:rPr>
                <w:b/>
              </w:rPr>
            </w:pPr>
            <w:r w:rsidRPr="001F5FB2">
              <w:rPr>
                <w:b/>
              </w:rPr>
              <w:t>Method of Data collection</w:t>
            </w:r>
          </w:p>
        </w:tc>
        <w:tc>
          <w:tcPr>
            <w:tcW w:w="8036" w:type="dxa"/>
            <w:gridSpan w:val="2"/>
            <w:tcBorders>
              <w:top w:val="single" w:sz="4" w:space="0" w:color="auto"/>
              <w:left w:val="single" w:sz="4" w:space="0" w:color="auto"/>
              <w:bottom w:val="single" w:sz="4" w:space="0" w:color="auto"/>
              <w:right w:val="single" w:sz="4" w:space="0" w:color="auto"/>
            </w:tcBorders>
            <w:shd w:val="clear" w:color="auto" w:fill="auto"/>
          </w:tcPr>
          <w:p w:rsidR="00CA2BF6" w:rsidRPr="001F5FB2" w:rsidRDefault="00CA2BF6" w:rsidP="00220FD0">
            <w:pPr>
              <w:rPr>
                <w:b/>
              </w:rPr>
            </w:pPr>
            <w:r w:rsidRPr="001F5FB2">
              <w:t xml:space="preserve">Administrative Collection (PAR Council reports; pilot ministries reports). </w:t>
            </w:r>
          </w:p>
        </w:tc>
      </w:tr>
      <w:tr w:rsidR="00CA2BF6" w:rsidRPr="001F5FB2" w:rsidTr="00220FD0">
        <w:tc>
          <w:tcPr>
            <w:tcW w:w="10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A2BF6" w:rsidRPr="001F5FB2" w:rsidRDefault="00CA2BF6" w:rsidP="00220FD0">
            <w:r w:rsidRPr="001F5FB2">
              <w:rPr>
                <w:b/>
              </w:rPr>
              <w:t>Benchmark 1.1.2:</w:t>
            </w:r>
            <w:r w:rsidRPr="001F5FB2">
              <w:t>“</w:t>
            </w:r>
            <w:r w:rsidRPr="001F5FB2">
              <w:rPr>
                <w:i/>
              </w:rPr>
              <w:t>At least one monitoring report of each selected sectoral strategy is prepared in line with the Handbook for policy planning and is published per each of the five pilot ministries. Each report shows evidence of the degree of progress and/or delays in the implementation of the action plans of sectoral strategies and proposes (where necessary) corrective actions”.</w:t>
            </w:r>
          </w:p>
        </w:tc>
      </w:tr>
      <w:tr w:rsidR="00CA2BF6" w:rsidRPr="001F5FB2" w:rsidTr="00220FD0">
        <w:tc>
          <w:tcPr>
            <w:tcW w:w="10410" w:type="dxa"/>
            <w:gridSpan w:val="3"/>
            <w:tcBorders>
              <w:top w:val="single" w:sz="4" w:space="0" w:color="auto"/>
              <w:left w:val="single" w:sz="4" w:space="0" w:color="auto"/>
              <w:bottom w:val="single" w:sz="4" w:space="0" w:color="auto"/>
              <w:right w:val="single" w:sz="4" w:space="0" w:color="auto"/>
            </w:tcBorders>
            <w:shd w:val="clear" w:color="auto" w:fill="E6E6E6"/>
            <w:hideMark/>
          </w:tcPr>
          <w:p w:rsidR="00CA2BF6" w:rsidRPr="001F5FB2" w:rsidRDefault="00CA2BF6" w:rsidP="00220FD0">
            <w:pPr>
              <w:rPr>
                <w:b/>
              </w:rPr>
            </w:pPr>
            <w:r w:rsidRPr="001F5FB2">
              <w:rPr>
                <w:b/>
              </w:rPr>
              <w:t xml:space="preserve">Sources of Verification 1.1: </w:t>
            </w:r>
            <w:r w:rsidRPr="001F5FB2">
              <w:rPr>
                <w:bCs/>
              </w:rPr>
              <w:t>Five monitoring reports (one per each pilot ministry) providing the evidence specified under condition 1.1.2 above.</w:t>
            </w:r>
          </w:p>
        </w:tc>
      </w:tr>
      <w:tr w:rsidR="00CA2BF6" w:rsidRPr="001F5FB2" w:rsidTr="00220FD0">
        <w:tc>
          <w:tcPr>
            <w:tcW w:w="5534" w:type="dxa"/>
            <w:gridSpan w:val="2"/>
            <w:tcBorders>
              <w:top w:val="single" w:sz="4" w:space="0" w:color="auto"/>
              <w:left w:val="single" w:sz="4" w:space="0" w:color="auto"/>
              <w:bottom w:val="single" w:sz="4" w:space="0" w:color="auto"/>
              <w:right w:val="single" w:sz="4" w:space="0" w:color="auto"/>
            </w:tcBorders>
            <w:shd w:val="clear" w:color="auto" w:fill="E6E6E6"/>
            <w:hideMark/>
          </w:tcPr>
          <w:p w:rsidR="00CA2BF6" w:rsidRPr="001F5FB2" w:rsidRDefault="00CA2BF6" w:rsidP="00220FD0">
            <w:pPr>
              <w:rPr>
                <w:b/>
              </w:rPr>
            </w:pPr>
            <w:r w:rsidRPr="001F5FB2">
              <w:rPr>
                <w:b/>
              </w:rPr>
              <w:t xml:space="preserve">Level of Achievement: </w:t>
            </w:r>
          </w:p>
        </w:tc>
        <w:tc>
          <w:tcPr>
            <w:tcW w:w="4876" w:type="dxa"/>
            <w:tcBorders>
              <w:top w:val="single" w:sz="4" w:space="0" w:color="auto"/>
              <w:left w:val="single" w:sz="4" w:space="0" w:color="auto"/>
              <w:bottom w:val="single" w:sz="4" w:space="0" w:color="auto"/>
              <w:right w:val="single" w:sz="4" w:space="0" w:color="auto"/>
            </w:tcBorders>
            <w:shd w:val="clear" w:color="auto" w:fill="FFFFFF"/>
            <w:hideMark/>
          </w:tcPr>
          <w:p w:rsidR="00CA2BF6" w:rsidRPr="001F5FB2" w:rsidRDefault="00CA2BF6" w:rsidP="00220FD0">
            <w:pPr>
              <w:rPr>
                <w:b/>
              </w:rPr>
            </w:pPr>
            <w:r w:rsidRPr="001F5FB2">
              <w:rPr>
                <w:b/>
              </w:rPr>
              <w:t>80% with possibility to increase to 100% (see explanation of proposed scoring section)</w:t>
            </w:r>
          </w:p>
        </w:tc>
      </w:tr>
      <w:tr w:rsidR="00CA2BF6" w:rsidRPr="001F5FB2" w:rsidTr="00220FD0">
        <w:tc>
          <w:tcPr>
            <w:tcW w:w="10410" w:type="dxa"/>
            <w:gridSpan w:val="3"/>
            <w:tcBorders>
              <w:top w:val="single" w:sz="4" w:space="0" w:color="auto"/>
              <w:left w:val="single" w:sz="4" w:space="0" w:color="auto"/>
              <w:bottom w:val="single" w:sz="4" w:space="0" w:color="auto"/>
              <w:right w:val="single" w:sz="4" w:space="0" w:color="auto"/>
            </w:tcBorders>
            <w:hideMark/>
          </w:tcPr>
          <w:p w:rsidR="00CA2BF6" w:rsidRPr="001F5FB2" w:rsidRDefault="00CA2BF6" w:rsidP="00CA2BF6">
            <w:pPr>
              <w:numPr>
                <w:ilvl w:val="0"/>
                <w:numId w:val="3"/>
              </w:numPr>
            </w:pPr>
            <w:r w:rsidRPr="001F5FB2">
              <w:rPr>
                <w:b/>
                <w:i/>
                <w:u w:val="single"/>
              </w:rPr>
              <w:t>Comment on the structure of the Benchmark in the relevant tranche:</w:t>
            </w:r>
          </w:p>
          <w:p w:rsidR="00CA2BF6" w:rsidRPr="001F5FB2" w:rsidRDefault="00CA2BF6" w:rsidP="00220FD0">
            <w:r w:rsidRPr="001F5FB2">
              <w:t>The formulation of Indicator 1 Benchmark 1.1.2 for the 2</w:t>
            </w:r>
            <w:r w:rsidRPr="001F5FB2">
              <w:rPr>
                <w:vertAlign w:val="superscript"/>
              </w:rPr>
              <w:t>nd</w:t>
            </w:r>
            <w:r w:rsidRPr="001F5FB2">
              <w:t xml:space="preserve"> variable tranche</w:t>
            </w:r>
            <w:r w:rsidRPr="001F5FB2">
              <w:rPr>
                <w:vertAlign w:val="superscript"/>
              </w:rPr>
              <w:footnoteReference w:id="1"/>
            </w:r>
            <w:r w:rsidRPr="001F5FB2">
              <w:t xml:space="preserve"> is referring to the achievement of both quantitative and qualitative targets. It is expected that the Pilot Ministries that introduced Policy Units in 2016 - as a requirement of Benchmark 1.1.1 - have produced and published in 2017, at least one monitoring report of their respective sectoral strategies. It is also required that these reports are done in accordance with the Policy Planning Handbook. </w:t>
            </w:r>
          </w:p>
          <w:p w:rsidR="00CA2BF6" w:rsidRPr="001F5FB2" w:rsidRDefault="00CA2BF6" w:rsidP="00220FD0">
            <w:r w:rsidRPr="001F5FB2">
              <w:t xml:space="preserve">The above noted, AT paid closer attention to the qualitative element tied to the Benchmark, looking at each strategy of the pilot Ministries and developing a compliance matrix for each monitoring report. </w:t>
            </w:r>
          </w:p>
          <w:p w:rsidR="00CA2BF6" w:rsidRPr="001F5FB2" w:rsidRDefault="00CA2BF6" w:rsidP="00220FD0">
            <w:r w:rsidRPr="001F5FB2">
              <w:t>Here below are presented the conclusions of this comparative assessment; while individual matrix templates for each strategy\monitoring report are attached in annex to this report (</w:t>
            </w:r>
            <w:r w:rsidRPr="001F5FB2">
              <w:rPr>
                <w:i/>
              </w:rPr>
              <w:t>see</w:t>
            </w:r>
            <w:r w:rsidRPr="001F5FB2">
              <w:t xml:space="preserve"> Annexes B section).</w:t>
            </w:r>
          </w:p>
          <w:p w:rsidR="00CA2BF6" w:rsidRPr="001F5FB2" w:rsidRDefault="00CA2BF6" w:rsidP="00220FD0"/>
          <w:p w:rsidR="00CA2BF6" w:rsidRPr="001F5FB2" w:rsidRDefault="00CA2BF6" w:rsidP="00220FD0">
            <w:r w:rsidRPr="001F5FB2">
              <w:lastRenderedPageBreak/>
              <w:t>The Benchmark clearly stipulates that the monitoring reports of five selected sectoral strategies must satisfy several sets of requirements:</w:t>
            </w:r>
          </w:p>
          <w:p w:rsidR="00CA2BF6" w:rsidRPr="001F5FB2" w:rsidRDefault="00CA2BF6" w:rsidP="00CA2BF6">
            <w:pPr>
              <w:numPr>
                <w:ilvl w:val="0"/>
                <w:numId w:val="5"/>
              </w:numPr>
            </w:pPr>
            <w:r w:rsidRPr="001F5FB2">
              <w:t>Has the monitoring report of each selected sectoral strategy been prepared in line with the Policy Planning Handbook?</w:t>
            </w:r>
          </w:p>
          <w:p w:rsidR="00CA2BF6" w:rsidRPr="001F5FB2" w:rsidRDefault="00CA2BF6" w:rsidP="00CA2BF6">
            <w:pPr>
              <w:numPr>
                <w:ilvl w:val="0"/>
                <w:numId w:val="5"/>
              </w:numPr>
            </w:pPr>
            <w:r w:rsidRPr="001F5FB2">
              <w:t>Has it been published?</w:t>
            </w:r>
          </w:p>
          <w:p w:rsidR="00CA2BF6" w:rsidRPr="001F5FB2" w:rsidRDefault="00CA2BF6" w:rsidP="00CA2BF6">
            <w:pPr>
              <w:numPr>
                <w:ilvl w:val="0"/>
                <w:numId w:val="5"/>
              </w:numPr>
            </w:pPr>
            <w:r w:rsidRPr="001F5FB2">
              <w:t>Does each report show the evidence of the degree of progress?</w:t>
            </w:r>
          </w:p>
          <w:p w:rsidR="00CA2BF6" w:rsidRPr="001F5FB2" w:rsidRDefault="00CA2BF6" w:rsidP="00CA2BF6">
            <w:pPr>
              <w:numPr>
                <w:ilvl w:val="0"/>
                <w:numId w:val="5"/>
              </w:numPr>
            </w:pPr>
            <w:r w:rsidRPr="001F5FB2">
              <w:t>Does each report show the delays in the implementation of the action plans of sectoral strategies?</w:t>
            </w:r>
          </w:p>
          <w:p w:rsidR="00CA2BF6" w:rsidRPr="001F5FB2" w:rsidRDefault="00CA2BF6" w:rsidP="00CA2BF6">
            <w:pPr>
              <w:numPr>
                <w:ilvl w:val="0"/>
                <w:numId w:val="5"/>
              </w:numPr>
            </w:pPr>
            <w:r w:rsidRPr="001F5FB2">
              <w:t>Are there corrective actions proposed (where necessary)?</w:t>
            </w:r>
          </w:p>
          <w:p w:rsidR="00CA2BF6" w:rsidRPr="001F5FB2" w:rsidRDefault="00CA2BF6" w:rsidP="00220FD0">
            <w:r w:rsidRPr="001F5FB2">
              <w:t>However, the AT has to underline that the formulation of the Benchmark itself is not completely in line with the Policy Planning Handbook as according to this -  the subject of monitoring (assessmen</w:t>
            </w:r>
            <w:r>
              <w:t xml:space="preserve">t) are ‘annual progress reports </w:t>
            </w:r>
            <w:r w:rsidRPr="001F5FB2">
              <w:t>and not</w:t>
            </w:r>
            <w:r w:rsidRPr="001F5FB2">
              <w:rPr>
                <w:i/>
              </w:rPr>
              <w:t>- monitoring reports</w:t>
            </w:r>
            <w:r w:rsidRPr="001F5FB2">
              <w:t>. Consequently, the reports under review, as a rule, do lack of a more analytical approach (assessment of progress and failures} and are more on the other side more focused on accounts of events and other quantitative information.</w:t>
            </w:r>
          </w:p>
        </w:tc>
      </w:tr>
      <w:tr w:rsidR="00CA2BF6" w:rsidRPr="001F5FB2" w:rsidTr="00220FD0">
        <w:tc>
          <w:tcPr>
            <w:tcW w:w="10410" w:type="dxa"/>
            <w:gridSpan w:val="3"/>
            <w:tcBorders>
              <w:top w:val="single" w:sz="4" w:space="0" w:color="auto"/>
              <w:left w:val="single" w:sz="4" w:space="0" w:color="auto"/>
              <w:bottom w:val="single" w:sz="4" w:space="0" w:color="auto"/>
              <w:right w:val="single" w:sz="4" w:space="0" w:color="auto"/>
            </w:tcBorders>
            <w:hideMark/>
          </w:tcPr>
          <w:p w:rsidR="00CA2BF6" w:rsidRPr="001F5FB2" w:rsidRDefault="00CA2BF6" w:rsidP="00CA2BF6">
            <w:pPr>
              <w:numPr>
                <w:ilvl w:val="0"/>
                <w:numId w:val="3"/>
              </w:numPr>
              <w:rPr>
                <w:i/>
              </w:rPr>
            </w:pPr>
            <w:r w:rsidRPr="001F5FB2">
              <w:rPr>
                <w:b/>
                <w:i/>
                <w:u w:val="single"/>
              </w:rPr>
              <w:lastRenderedPageBreak/>
              <w:t>Comments on direct achievement of the Benchmark in the relevant tranche</w:t>
            </w:r>
            <w:r w:rsidRPr="001F5FB2">
              <w:rPr>
                <w:i/>
              </w:rPr>
              <w:t xml:space="preserve">: </w:t>
            </w:r>
          </w:p>
          <w:p w:rsidR="00CA2BF6" w:rsidRPr="001F5FB2" w:rsidRDefault="00CA2BF6" w:rsidP="00CA2BF6">
            <w:pPr>
              <w:numPr>
                <w:ilvl w:val="1"/>
                <w:numId w:val="3"/>
              </w:numPr>
              <w:rPr>
                <w:b/>
                <w:i/>
              </w:rPr>
            </w:pPr>
            <w:r w:rsidRPr="001F5FB2">
              <w:rPr>
                <w:b/>
                <w:i/>
              </w:rPr>
              <w:t>Quantitative</w:t>
            </w:r>
          </w:p>
          <w:p w:rsidR="00CA2BF6" w:rsidRPr="001F5FB2" w:rsidRDefault="00CA2BF6" w:rsidP="00220FD0">
            <w:r w:rsidRPr="001F5FB2">
              <w:t>The subject of assessment are 5 monitoring/progress reports for 5 sectoral strategies:</w:t>
            </w:r>
          </w:p>
          <w:p w:rsidR="00CA2BF6" w:rsidRPr="001F5FB2" w:rsidRDefault="00CA2BF6" w:rsidP="00220FD0">
            <w:pPr>
              <w:rPr>
                <w:sz w:val="10"/>
                <w:szCs w:val="10"/>
              </w:rPr>
            </w:pP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9"/>
              <w:gridCol w:w="2268"/>
              <w:gridCol w:w="2268"/>
            </w:tblGrid>
            <w:tr w:rsidR="00CA2BF6" w:rsidRPr="001F5FB2" w:rsidTr="00220FD0">
              <w:tc>
                <w:tcPr>
                  <w:tcW w:w="5669" w:type="dxa"/>
                  <w:vAlign w:val="center"/>
                </w:tcPr>
                <w:p w:rsidR="00CA2BF6" w:rsidRPr="001F5FB2" w:rsidRDefault="00CA2BF6" w:rsidP="00220FD0">
                  <w:pPr>
                    <w:framePr w:hSpace="180" w:wrap="around" w:vAnchor="text" w:hAnchor="text" w:x="-658" w:y="1"/>
                    <w:suppressOverlap/>
                    <w:rPr>
                      <w:b/>
                      <w:sz w:val="18"/>
                      <w:szCs w:val="18"/>
                    </w:rPr>
                  </w:pPr>
                  <w:r w:rsidRPr="001F5FB2">
                    <w:rPr>
                      <w:b/>
                      <w:sz w:val="18"/>
                      <w:szCs w:val="18"/>
                    </w:rPr>
                    <w:t>Name of the report</w:t>
                  </w:r>
                </w:p>
              </w:tc>
              <w:tc>
                <w:tcPr>
                  <w:tcW w:w="2268" w:type="dxa"/>
                  <w:vAlign w:val="center"/>
                </w:tcPr>
                <w:p w:rsidR="00CA2BF6" w:rsidRPr="001F5FB2" w:rsidRDefault="00CA2BF6" w:rsidP="00220FD0">
                  <w:pPr>
                    <w:framePr w:hSpace="180" w:wrap="around" w:vAnchor="text" w:hAnchor="text" w:x="-658" w:y="1"/>
                    <w:suppressOverlap/>
                    <w:rPr>
                      <w:b/>
                      <w:sz w:val="18"/>
                      <w:szCs w:val="18"/>
                    </w:rPr>
                  </w:pPr>
                  <w:r w:rsidRPr="001F5FB2">
                    <w:rPr>
                      <w:b/>
                      <w:sz w:val="18"/>
                      <w:szCs w:val="18"/>
                    </w:rPr>
                    <w:t>Timeframe of assessment</w:t>
                  </w:r>
                </w:p>
              </w:tc>
              <w:tc>
                <w:tcPr>
                  <w:tcW w:w="2268" w:type="dxa"/>
                  <w:vAlign w:val="center"/>
                </w:tcPr>
                <w:p w:rsidR="00CA2BF6" w:rsidRPr="001F5FB2" w:rsidRDefault="00CA2BF6" w:rsidP="00220FD0">
                  <w:pPr>
                    <w:framePr w:hSpace="180" w:wrap="around" w:vAnchor="text" w:hAnchor="text" w:x="-658" w:y="1"/>
                    <w:suppressOverlap/>
                    <w:rPr>
                      <w:b/>
                      <w:sz w:val="18"/>
                      <w:szCs w:val="18"/>
                    </w:rPr>
                  </w:pPr>
                  <w:r w:rsidRPr="001F5FB2">
                    <w:rPr>
                      <w:b/>
                      <w:sz w:val="18"/>
                      <w:szCs w:val="18"/>
                    </w:rPr>
                    <w:t>Number of strategy objectives for monitoring/assessment</w:t>
                  </w:r>
                </w:p>
              </w:tc>
            </w:tr>
            <w:tr w:rsidR="00CA2BF6" w:rsidRPr="001F5FB2" w:rsidTr="00220FD0">
              <w:tc>
                <w:tcPr>
                  <w:tcW w:w="5669" w:type="dxa"/>
                </w:tcPr>
                <w:p w:rsidR="00CA2BF6" w:rsidRPr="001F5FB2" w:rsidRDefault="00CA2BF6" w:rsidP="00220FD0">
                  <w:pPr>
                    <w:framePr w:hSpace="180" w:wrap="around" w:vAnchor="text" w:hAnchor="text" w:x="-658" w:y="1"/>
                    <w:suppressOverlap/>
                    <w:rPr>
                      <w:sz w:val="18"/>
                      <w:szCs w:val="18"/>
                    </w:rPr>
                  </w:pPr>
                  <w:r w:rsidRPr="001F5FB2">
                    <w:rPr>
                      <w:sz w:val="18"/>
                      <w:szCs w:val="18"/>
                    </w:rPr>
                    <w:t>Monitoring report on the implementation of Agriculture Development Strategy Action Plan 2016</w:t>
                  </w:r>
                </w:p>
              </w:tc>
              <w:tc>
                <w:tcPr>
                  <w:tcW w:w="2268" w:type="dxa"/>
                  <w:vAlign w:val="center"/>
                </w:tcPr>
                <w:p w:rsidR="00CA2BF6" w:rsidRPr="001F5FB2" w:rsidRDefault="00CA2BF6" w:rsidP="00220FD0">
                  <w:pPr>
                    <w:framePr w:hSpace="180" w:wrap="around" w:vAnchor="text" w:hAnchor="text" w:x="-658" w:y="1"/>
                    <w:suppressOverlap/>
                    <w:rPr>
                      <w:sz w:val="18"/>
                      <w:szCs w:val="18"/>
                    </w:rPr>
                  </w:pPr>
                  <w:r w:rsidRPr="001F5FB2">
                    <w:rPr>
                      <w:sz w:val="18"/>
                      <w:szCs w:val="18"/>
                    </w:rPr>
                    <w:t>2016</w:t>
                  </w:r>
                </w:p>
              </w:tc>
              <w:tc>
                <w:tcPr>
                  <w:tcW w:w="2268" w:type="dxa"/>
                  <w:vAlign w:val="center"/>
                </w:tcPr>
                <w:p w:rsidR="00CA2BF6" w:rsidRPr="001F5FB2" w:rsidRDefault="00CA2BF6" w:rsidP="00220FD0">
                  <w:pPr>
                    <w:framePr w:hSpace="180" w:wrap="around" w:vAnchor="text" w:hAnchor="text" w:x="-658" w:y="1"/>
                    <w:suppressOverlap/>
                    <w:rPr>
                      <w:sz w:val="18"/>
                      <w:szCs w:val="18"/>
                    </w:rPr>
                  </w:pPr>
                  <w:r w:rsidRPr="001F5FB2">
                    <w:rPr>
                      <w:sz w:val="18"/>
                      <w:szCs w:val="18"/>
                    </w:rPr>
                    <w:t>7</w:t>
                  </w:r>
                </w:p>
              </w:tc>
            </w:tr>
            <w:tr w:rsidR="00CA2BF6" w:rsidRPr="001F5FB2" w:rsidTr="00220FD0">
              <w:tc>
                <w:tcPr>
                  <w:tcW w:w="5669" w:type="dxa"/>
                </w:tcPr>
                <w:p w:rsidR="00CA2BF6" w:rsidRPr="001F5FB2" w:rsidRDefault="00CA2BF6" w:rsidP="00220FD0">
                  <w:pPr>
                    <w:framePr w:hSpace="180" w:wrap="around" w:vAnchor="text" w:hAnchor="text" w:x="-658" w:y="1"/>
                    <w:suppressOverlap/>
                    <w:rPr>
                      <w:sz w:val="18"/>
                      <w:szCs w:val="18"/>
                    </w:rPr>
                  </w:pPr>
                  <w:r w:rsidRPr="001F5FB2">
                    <w:rPr>
                      <w:sz w:val="18"/>
                      <w:szCs w:val="18"/>
                    </w:rPr>
                    <w:t>Monitoring Report on Strategic Objectives and Action Plan for the Unified Strategy of Education and Science (2017-2021)</w:t>
                  </w:r>
                </w:p>
              </w:tc>
              <w:tc>
                <w:tcPr>
                  <w:tcW w:w="2268" w:type="dxa"/>
                  <w:vAlign w:val="center"/>
                </w:tcPr>
                <w:p w:rsidR="00CA2BF6" w:rsidRPr="001F5FB2" w:rsidRDefault="00CA2BF6" w:rsidP="00220FD0">
                  <w:pPr>
                    <w:framePr w:hSpace="180" w:wrap="around" w:vAnchor="text" w:hAnchor="text" w:x="-658" w:y="1"/>
                    <w:suppressOverlap/>
                    <w:rPr>
                      <w:sz w:val="18"/>
                      <w:szCs w:val="18"/>
                    </w:rPr>
                  </w:pPr>
                  <w:r w:rsidRPr="001F5FB2">
                    <w:rPr>
                      <w:sz w:val="18"/>
                      <w:szCs w:val="18"/>
                    </w:rPr>
                    <w:t>2017</w:t>
                  </w:r>
                </w:p>
              </w:tc>
              <w:tc>
                <w:tcPr>
                  <w:tcW w:w="2268" w:type="dxa"/>
                  <w:vAlign w:val="center"/>
                </w:tcPr>
                <w:p w:rsidR="00CA2BF6" w:rsidRPr="001F5FB2" w:rsidRDefault="00CA2BF6" w:rsidP="00220FD0">
                  <w:pPr>
                    <w:framePr w:hSpace="180" w:wrap="around" w:vAnchor="text" w:hAnchor="text" w:x="-658" w:y="1"/>
                    <w:suppressOverlap/>
                    <w:rPr>
                      <w:sz w:val="18"/>
                      <w:szCs w:val="18"/>
                    </w:rPr>
                  </w:pPr>
                  <w:r w:rsidRPr="001F5FB2">
                    <w:rPr>
                      <w:sz w:val="18"/>
                      <w:szCs w:val="18"/>
                    </w:rPr>
                    <w:t>15</w:t>
                  </w:r>
                </w:p>
              </w:tc>
            </w:tr>
            <w:tr w:rsidR="00CA2BF6" w:rsidRPr="001F5FB2" w:rsidTr="00220FD0">
              <w:tc>
                <w:tcPr>
                  <w:tcW w:w="5669" w:type="dxa"/>
                </w:tcPr>
                <w:p w:rsidR="00CA2BF6" w:rsidRPr="001F5FB2" w:rsidRDefault="00CA2BF6" w:rsidP="00220FD0">
                  <w:pPr>
                    <w:framePr w:hSpace="180" w:wrap="around" w:vAnchor="text" w:hAnchor="text" w:x="-658" w:y="1"/>
                    <w:suppressOverlap/>
                    <w:rPr>
                      <w:sz w:val="18"/>
                      <w:szCs w:val="18"/>
                    </w:rPr>
                  </w:pPr>
                  <w:r w:rsidRPr="001F5FB2">
                    <w:rPr>
                      <w:sz w:val="18"/>
                      <w:szCs w:val="18"/>
                    </w:rPr>
                    <w:t>National Hepatitis C Virus Elimination Progress Report, Georgia 2015-2017</w:t>
                  </w:r>
                </w:p>
              </w:tc>
              <w:tc>
                <w:tcPr>
                  <w:tcW w:w="2268" w:type="dxa"/>
                  <w:vAlign w:val="center"/>
                </w:tcPr>
                <w:p w:rsidR="00CA2BF6" w:rsidRPr="001F5FB2" w:rsidRDefault="00CA2BF6" w:rsidP="00220FD0">
                  <w:pPr>
                    <w:framePr w:hSpace="180" w:wrap="around" w:vAnchor="text" w:hAnchor="text" w:x="-658" w:y="1"/>
                    <w:suppressOverlap/>
                    <w:rPr>
                      <w:sz w:val="18"/>
                      <w:szCs w:val="18"/>
                    </w:rPr>
                  </w:pPr>
                  <w:r w:rsidRPr="001F5FB2">
                    <w:rPr>
                      <w:sz w:val="18"/>
                      <w:szCs w:val="18"/>
                    </w:rPr>
                    <w:t>2016-2017</w:t>
                  </w:r>
                </w:p>
              </w:tc>
              <w:tc>
                <w:tcPr>
                  <w:tcW w:w="2268" w:type="dxa"/>
                  <w:vAlign w:val="center"/>
                </w:tcPr>
                <w:p w:rsidR="00CA2BF6" w:rsidRPr="001F5FB2" w:rsidRDefault="00CA2BF6" w:rsidP="00220FD0">
                  <w:pPr>
                    <w:framePr w:hSpace="180" w:wrap="around" w:vAnchor="text" w:hAnchor="text" w:x="-658" w:y="1"/>
                    <w:suppressOverlap/>
                    <w:rPr>
                      <w:sz w:val="18"/>
                      <w:szCs w:val="18"/>
                    </w:rPr>
                  </w:pPr>
                  <w:r w:rsidRPr="001F5FB2">
                    <w:rPr>
                      <w:sz w:val="18"/>
                      <w:szCs w:val="18"/>
                    </w:rPr>
                    <w:t xml:space="preserve">6 </w:t>
                  </w:r>
                </w:p>
              </w:tc>
            </w:tr>
            <w:tr w:rsidR="00CA2BF6" w:rsidRPr="001F5FB2" w:rsidTr="00220FD0">
              <w:tc>
                <w:tcPr>
                  <w:tcW w:w="5669" w:type="dxa"/>
                </w:tcPr>
                <w:p w:rsidR="00CA2BF6" w:rsidRPr="001F5FB2" w:rsidRDefault="00CA2BF6" w:rsidP="00220FD0">
                  <w:pPr>
                    <w:framePr w:hSpace="180" w:wrap="around" w:vAnchor="text" w:hAnchor="text" w:x="-658" w:y="1"/>
                    <w:suppressOverlap/>
                    <w:rPr>
                      <w:sz w:val="18"/>
                      <w:szCs w:val="18"/>
                    </w:rPr>
                  </w:pPr>
                  <w:r w:rsidRPr="001F5FB2">
                    <w:rPr>
                      <w:sz w:val="18"/>
                      <w:szCs w:val="18"/>
                    </w:rPr>
                    <w:t>Annual Progress Report (2017) of SME Development Strategy Action Plan 2016-2017</w:t>
                  </w:r>
                </w:p>
              </w:tc>
              <w:tc>
                <w:tcPr>
                  <w:tcW w:w="2268" w:type="dxa"/>
                  <w:vAlign w:val="center"/>
                </w:tcPr>
                <w:p w:rsidR="00CA2BF6" w:rsidRPr="001F5FB2" w:rsidRDefault="00CA2BF6" w:rsidP="00220FD0">
                  <w:pPr>
                    <w:framePr w:hSpace="180" w:wrap="around" w:vAnchor="text" w:hAnchor="text" w:x="-658" w:y="1"/>
                    <w:suppressOverlap/>
                    <w:rPr>
                      <w:sz w:val="18"/>
                      <w:szCs w:val="18"/>
                    </w:rPr>
                  </w:pPr>
                  <w:r w:rsidRPr="001F5FB2">
                    <w:rPr>
                      <w:sz w:val="18"/>
                      <w:szCs w:val="18"/>
                    </w:rPr>
                    <w:t>2016-2017</w:t>
                  </w:r>
                </w:p>
              </w:tc>
              <w:tc>
                <w:tcPr>
                  <w:tcW w:w="2268" w:type="dxa"/>
                  <w:vAlign w:val="center"/>
                </w:tcPr>
                <w:p w:rsidR="00CA2BF6" w:rsidRPr="001F5FB2" w:rsidRDefault="00CA2BF6" w:rsidP="00220FD0">
                  <w:pPr>
                    <w:framePr w:hSpace="180" w:wrap="around" w:vAnchor="text" w:hAnchor="text" w:x="-658" w:y="1"/>
                    <w:suppressOverlap/>
                    <w:rPr>
                      <w:sz w:val="18"/>
                      <w:szCs w:val="18"/>
                    </w:rPr>
                  </w:pPr>
                  <w:r w:rsidRPr="001F5FB2">
                    <w:rPr>
                      <w:sz w:val="18"/>
                      <w:szCs w:val="18"/>
                    </w:rPr>
                    <w:t>5</w:t>
                  </w:r>
                </w:p>
              </w:tc>
            </w:tr>
            <w:tr w:rsidR="00CA2BF6" w:rsidRPr="001F5FB2" w:rsidTr="00220FD0">
              <w:tc>
                <w:tcPr>
                  <w:tcW w:w="5669" w:type="dxa"/>
                </w:tcPr>
                <w:p w:rsidR="00CA2BF6" w:rsidRPr="001F5FB2" w:rsidRDefault="00CA2BF6" w:rsidP="00220FD0">
                  <w:pPr>
                    <w:framePr w:hSpace="180" w:wrap="around" w:vAnchor="text" w:hAnchor="text" w:x="-658" w:y="1"/>
                    <w:suppressOverlap/>
                    <w:rPr>
                      <w:sz w:val="18"/>
                      <w:szCs w:val="18"/>
                    </w:rPr>
                  </w:pPr>
                  <w:r w:rsidRPr="001F5FB2">
                    <w:rPr>
                      <w:sz w:val="18"/>
                      <w:szCs w:val="18"/>
                    </w:rPr>
                    <w:t>Report on Monitoring of National Anti-Corruption Action Plan of Georgia 2015-2016</w:t>
                  </w:r>
                </w:p>
              </w:tc>
              <w:tc>
                <w:tcPr>
                  <w:tcW w:w="2268" w:type="dxa"/>
                  <w:vAlign w:val="center"/>
                </w:tcPr>
                <w:p w:rsidR="00CA2BF6" w:rsidRPr="001F5FB2" w:rsidRDefault="00CA2BF6" w:rsidP="00220FD0">
                  <w:pPr>
                    <w:framePr w:hSpace="180" w:wrap="around" w:vAnchor="text" w:hAnchor="text" w:x="-658" w:y="1"/>
                    <w:suppressOverlap/>
                    <w:rPr>
                      <w:sz w:val="18"/>
                      <w:szCs w:val="18"/>
                    </w:rPr>
                  </w:pPr>
                  <w:r w:rsidRPr="001F5FB2">
                    <w:rPr>
                      <w:sz w:val="18"/>
                      <w:szCs w:val="18"/>
                    </w:rPr>
                    <w:t>2015-2016</w:t>
                  </w:r>
                </w:p>
              </w:tc>
              <w:tc>
                <w:tcPr>
                  <w:tcW w:w="2268" w:type="dxa"/>
                  <w:vAlign w:val="center"/>
                </w:tcPr>
                <w:p w:rsidR="00CA2BF6" w:rsidRPr="001F5FB2" w:rsidRDefault="00CA2BF6" w:rsidP="00220FD0">
                  <w:pPr>
                    <w:framePr w:hSpace="180" w:wrap="around" w:vAnchor="text" w:hAnchor="text" w:x="-658" w:y="1"/>
                    <w:suppressOverlap/>
                    <w:rPr>
                      <w:sz w:val="18"/>
                      <w:szCs w:val="18"/>
                    </w:rPr>
                  </w:pPr>
                  <w:r w:rsidRPr="001F5FB2">
                    <w:rPr>
                      <w:sz w:val="18"/>
                      <w:szCs w:val="18"/>
                    </w:rPr>
                    <w:t>14</w:t>
                  </w:r>
                </w:p>
              </w:tc>
            </w:tr>
          </w:tbl>
          <w:p w:rsidR="00CA2BF6" w:rsidRPr="001F5FB2" w:rsidRDefault="00CA2BF6" w:rsidP="00220FD0"/>
          <w:p w:rsidR="00CA2BF6" w:rsidRDefault="00CA2BF6" w:rsidP="00220FD0">
            <w:r w:rsidRPr="001F5FB2">
              <w:t xml:space="preserve">Considering the sheer number of the requirements a monitoring report must meet under this Benchmark, it is no surprise that, at this stage, none of the reports reviewed addressed all of them, in particular elaboration of progress and failures against indicators and information pertinent to action plans. Yet, the </w:t>
            </w:r>
            <w:r w:rsidRPr="001F5FB2">
              <w:rPr>
                <w:b/>
              </w:rPr>
              <w:t>Report on the Unified Strategy of Education and Science 2017-2021 has almost all the required items accounted for</w:t>
            </w:r>
            <w:r w:rsidRPr="001F5FB2">
              <w:t xml:space="preserve"> with just information on</w:t>
            </w:r>
            <w:r>
              <w:t xml:space="preserve"> </w:t>
            </w:r>
            <w:r w:rsidRPr="001F5FB2">
              <w:t>failures and problems encountered as well as corrective measures and future steps missing. (Annex B-2)</w:t>
            </w:r>
          </w:p>
          <w:p w:rsidR="00CA2BF6" w:rsidRPr="001F5FB2" w:rsidRDefault="00CA2BF6" w:rsidP="00220FD0"/>
          <w:p w:rsidR="00CA2BF6" w:rsidRDefault="00CA2BF6" w:rsidP="00220FD0">
            <w:r w:rsidRPr="004E3C01">
              <w:t>The structure and the content of the Report on the Agriculture Development Strategy diverged from the mandated content under this Benchmark. (See Annex B1) This report is very detailed (174 pages) and presents aggregated data demonstrating achievements without covering the required format from the Handbook. However, this report has all the required content and data according to manual, but in other format and content.</w:t>
            </w:r>
          </w:p>
          <w:p w:rsidR="00CA2BF6" w:rsidRPr="001F5FB2" w:rsidRDefault="00CA2BF6" w:rsidP="00220FD0"/>
          <w:p w:rsidR="00CA2BF6" w:rsidRDefault="00CA2BF6" w:rsidP="00220FD0">
            <w:r w:rsidRPr="001F5FB2">
              <w:t>The Progress Report on the Elimination of Hepatitis C Virus Strategy could be generally assessed as satisfactory. Yet the very title of this report gives rise to dilemma whether this is a report on the implementation of an action plan or the Strategy. Despite visible effort invested in, additional work is needed on the standardized form and content in line with the requirements from the Handbook (e.g. there is no explicit mentioning of the action plan being subject of the monitoring</w:t>
            </w:r>
            <w:r>
              <w:t>,</w:t>
            </w:r>
            <w:r w:rsidRPr="001F5FB2">
              <w:t xml:space="preserve"> although the report itself refers to the monitoring of the action plan as it arises from the strategic areas </w:t>
            </w:r>
            <w:r w:rsidRPr="001F5FB2">
              <w:lastRenderedPageBreak/>
              <w:t>being monitored). The character of a progress report requires that all categories mentioned therein to be clearly and unequivocally identified and explained thereby leaving no room for any dilemma on the side of an average reader. (Annex B-3)</w:t>
            </w:r>
          </w:p>
          <w:p w:rsidR="00CA2BF6" w:rsidRPr="001F5FB2" w:rsidRDefault="00CA2BF6" w:rsidP="00220FD0"/>
          <w:p w:rsidR="00CA2BF6" w:rsidRPr="001F5FB2" w:rsidRDefault="00CA2BF6" w:rsidP="00220FD0">
            <w:r w:rsidRPr="004E3C01">
              <w:t>The Report on the S.M.E. Development Strategy 2016-2020 could be assessed as generally satisfactory although some sections could be added or improved (executive summary and identification of risks and failures).</w:t>
            </w:r>
            <w:r w:rsidRPr="001F5FB2">
              <w:t xml:space="preserve"> (Annex B-4)</w:t>
            </w:r>
          </w:p>
          <w:p w:rsidR="00CA2BF6" w:rsidRPr="001F5FB2" w:rsidRDefault="00CA2BF6" w:rsidP="00220FD0">
            <w:r w:rsidRPr="001F5FB2">
              <w:t>The Progress Report on Implementation of 2015-2016 National Anti-Corruption Action Plan of Georgia in English translation was delivered with a certain delay (after 1</w:t>
            </w:r>
            <w:r w:rsidRPr="001F5FB2">
              <w:rPr>
                <w:vertAlign w:val="superscript"/>
              </w:rPr>
              <w:t>st</w:t>
            </w:r>
            <w:r w:rsidRPr="001F5FB2">
              <w:t xml:space="preserve"> mission). The Report is almost exclusively limited to chronographic account of the activities implemented without providing qualitative data and information. Generally, it could be assessed as satisfactory. (Annex B-5).</w:t>
            </w:r>
          </w:p>
          <w:p w:rsidR="00CA2BF6" w:rsidRPr="001F5FB2" w:rsidRDefault="00CA2BF6" w:rsidP="00220FD0">
            <w:pPr>
              <w:rPr>
                <w:sz w:val="10"/>
                <w:szCs w:val="10"/>
              </w:rPr>
            </w:pPr>
          </w:p>
          <w:p w:rsidR="00CA2BF6" w:rsidRPr="001F5FB2" w:rsidRDefault="00CA2BF6" w:rsidP="00220FD0">
            <w:pPr>
              <w:rPr>
                <w:b/>
                <w:i/>
              </w:rPr>
            </w:pPr>
            <w:r w:rsidRPr="001F5FB2">
              <w:rPr>
                <w:b/>
                <w:i/>
              </w:rPr>
              <w:t>Qualitative</w:t>
            </w:r>
          </w:p>
          <w:p w:rsidR="00CA2BF6" w:rsidRPr="001F5FB2" w:rsidRDefault="00CA2BF6" w:rsidP="00220FD0">
            <w:r w:rsidRPr="001F5FB2">
              <w:t>In qualitative terms, the monitoring reports are supposed to provide details of two sets of information:</w:t>
            </w:r>
          </w:p>
          <w:p w:rsidR="00CA2BF6" w:rsidRPr="001F5FB2" w:rsidRDefault="00CA2BF6" w:rsidP="00CA2BF6">
            <w:pPr>
              <w:numPr>
                <w:ilvl w:val="0"/>
                <w:numId w:val="6"/>
              </w:numPr>
            </w:pPr>
            <w:r w:rsidRPr="001F5FB2">
              <w:t>The first set is to be applied to the monitoring report as a whole and comprises the following three groups of requirements specified in the Policy Planning Handbook:</w:t>
            </w:r>
          </w:p>
          <w:p w:rsidR="00CA2BF6" w:rsidRPr="001F5FB2" w:rsidRDefault="00CA2BF6" w:rsidP="00CA2BF6">
            <w:pPr>
              <w:numPr>
                <w:ilvl w:val="1"/>
                <w:numId w:val="6"/>
              </w:numPr>
            </w:pPr>
            <w:r w:rsidRPr="001F5FB2">
              <w:t>The qualifying pre-requisite that the monitoring report has been published (only published reports that the professional and lay public have had a chance to scrutinize should be subject of this evaluation).</w:t>
            </w:r>
          </w:p>
          <w:p w:rsidR="00CA2BF6" w:rsidRPr="001F5FB2" w:rsidRDefault="00CA2BF6" w:rsidP="00CA2BF6">
            <w:pPr>
              <w:numPr>
                <w:ilvl w:val="1"/>
                <w:numId w:val="6"/>
              </w:numPr>
            </w:pPr>
            <w:r w:rsidRPr="001F5FB2">
              <w:t>Requirements regarding the process of producing monitoring reports:</w:t>
            </w:r>
          </w:p>
          <w:p w:rsidR="00CA2BF6" w:rsidRPr="001F5FB2" w:rsidRDefault="00CA2BF6" w:rsidP="00CA2BF6">
            <w:pPr>
              <w:numPr>
                <w:ilvl w:val="2"/>
                <w:numId w:val="7"/>
              </w:numPr>
            </w:pPr>
            <w:r w:rsidRPr="001F5FB2">
              <w:t>Drafting of monitoring reports is an annual, or a more frequent activity;</w:t>
            </w:r>
          </w:p>
          <w:p w:rsidR="00CA2BF6" w:rsidRPr="001F5FB2" w:rsidRDefault="00CA2BF6" w:rsidP="00CA2BF6">
            <w:pPr>
              <w:numPr>
                <w:ilvl w:val="2"/>
                <w:numId w:val="7"/>
              </w:numPr>
            </w:pPr>
            <w:r w:rsidRPr="001F5FB2">
              <w:t xml:space="preserve">The monitoring report is published by the ministry responsible for the development of </w:t>
            </w:r>
            <w:proofErr w:type="spellStart"/>
            <w:r w:rsidRPr="001F5FB2">
              <w:t>multisectoral</w:t>
            </w:r>
            <w:proofErr w:type="spellEnd"/>
            <w:r w:rsidRPr="001F5FB2">
              <w:t>/sectoral strategy or, alternatively, by an interagency council/commission with the function of monitoring the policy implementation;</w:t>
            </w:r>
          </w:p>
          <w:p w:rsidR="00CA2BF6" w:rsidRPr="001F5FB2" w:rsidRDefault="00CA2BF6" w:rsidP="00CA2BF6">
            <w:pPr>
              <w:numPr>
                <w:ilvl w:val="2"/>
                <w:numId w:val="7"/>
              </w:numPr>
            </w:pPr>
            <w:r w:rsidRPr="001F5FB2">
              <w:t>The monitoring report is actually prepared by a dedicated internal unit, or a designated officer (in case of smaller ministries);</w:t>
            </w:r>
          </w:p>
          <w:p w:rsidR="00CA2BF6" w:rsidRPr="001F5FB2" w:rsidRDefault="00CA2BF6" w:rsidP="00CA2BF6">
            <w:pPr>
              <w:numPr>
                <w:ilvl w:val="2"/>
                <w:numId w:val="7"/>
              </w:numPr>
            </w:pPr>
            <w:r w:rsidRPr="001F5FB2">
              <w:t>The leading agency develops and disseminates inquiry forms, and may issue instructions and set deadlines for the purpose of information gathering;</w:t>
            </w:r>
          </w:p>
          <w:p w:rsidR="00CA2BF6" w:rsidRPr="001F5FB2" w:rsidRDefault="00CA2BF6" w:rsidP="00CA2BF6">
            <w:pPr>
              <w:numPr>
                <w:ilvl w:val="2"/>
                <w:numId w:val="7"/>
              </w:numPr>
            </w:pPr>
            <w:r w:rsidRPr="001F5FB2">
              <w:t>The leading agency integrates the gathered information into one analytic text, etc.</w:t>
            </w:r>
          </w:p>
          <w:p w:rsidR="00CA2BF6" w:rsidRPr="001F5FB2" w:rsidRDefault="00CA2BF6" w:rsidP="00CA2BF6">
            <w:pPr>
              <w:numPr>
                <w:ilvl w:val="1"/>
                <w:numId w:val="6"/>
              </w:numPr>
            </w:pPr>
            <w:r w:rsidRPr="001F5FB2">
              <w:rPr>
                <w:b/>
              </w:rPr>
              <w:t>Mandatory content of each monitoring report</w:t>
            </w:r>
            <w:r w:rsidRPr="001F5FB2">
              <w:t>, as follows:</w:t>
            </w:r>
          </w:p>
          <w:p w:rsidR="00CA2BF6" w:rsidRPr="001F5FB2" w:rsidRDefault="00CA2BF6" w:rsidP="00CA2BF6">
            <w:pPr>
              <w:numPr>
                <w:ilvl w:val="2"/>
                <w:numId w:val="6"/>
              </w:numPr>
            </w:pPr>
            <w:r w:rsidRPr="001F5FB2">
              <w:t>Executive summary (this part includes brief information on the achievement of each goal based on performance indicators as well as the information on the process of key reforms, and aims at informing the decision makers, public at large and stakeholders)</w:t>
            </w:r>
          </w:p>
          <w:p w:rsidR="00CA2BF6" w:rsidRPr="001F5FB2" w:rsidRDefault="00CA2BF6" w:rsidP="00CA2BF6">
            <w:pPr>
              <w:numPr>
                <w:ilvl w:val="2"/>
                <w:numId w:val="6"/>
              </w:numPr>
            </w:pPr>
            <w:r w:rsidRPr="001F5FB2">
              <w:t>There is a dedicated section for each and every strategic objective, wherein the following is elaborated:</w:t>
            </w:r>
          </w:p>
          <w:p w:rsidR="00CA2BF6" w:rsidRPr="001F5FB2" w:rsidRDefault="00CA2BF6" w:rsidP="00CA2BF6">
            <w:pPr>
              <w:numPr>
                <w:ilvl w:val="3"/>
                <w:numId w:val="6"/>
              </w:numPr>
            </w:pPr>
            <w:r w:rsidRPr="001F5FB2">
              <w:t>Description of progress achieved;</w:t>
            </w:r>
          </w:p>
          <w:p w:rsidR="00CA2BF6" w:rsidRPr="001F5FB2" w:rsidRDefault="00CA2BF6" w:rsidP="00CA2BF6">
            <w:pPr>
              <w:numPr>
                <w:ilvl w:val="3"/>
                <w:numId w:val="6"/>
              </w:numPr>
            </w:pPr>
            <w:r w:rsidRPr="001F5FB2">
              <w:t>Information on activities implemented in that particular year;</w:t>
            </w:r>
          </w:p>
          <w:p w:rsidR="00CA2BF6" w:rsidRPr="001F5FB2" w:rsidRDefault="00CA2BF6" w:rsidP="00CA2BF6">
            <w:pPr>
              <w:numPr>
                <w:ilvl w:val="3"/>
                <w:numId w:val="6"/>
              </w:numPr>
            </w:pPr>
            <w:r w:rsidRPr="001F5FB2">
              <w:t>Information on whether performance indicator targets were achieved;</w:t>
            </w:r>
          </w:p>
          <w:p w:rsidR="00CA2BF6" w:rsidRPr="001F5FB2" w:rsidRDefault="00CA2BF6" w:rsidP="00CA2BF6">
            <w:pPr>
              <w:numPr>
                <w:ilvl w:val="3"/>
                <w:numId w:val="6"/>
              </w:numPr>
            </w:pPr>
            <w:r w:rsidRPr="001F5FB2">
              <w:t>Description of the key reforms implemented;</w:t>
            </w:r>
          </w:p>
          <w:p w:rsidR="00CA2BF6" w:rsidRPr="001F5FB2" w:rsidRDefault="00CA2BF6" w:rsidP="00CA2BF6">
            <w:pPr>
              <w:numPr>
                <w:ilvl w:val="3"/>
                <w:numId w:val="6"/>
              </w:numPr>
            </w:pPr>
            <w:r w:rsidRPr="001F5FB2">
              <w:t>Brief description of risks and problems/failures;</w:t>
            </w:r>
          </w:p>
          <w:p w:rsidR="00CA2BF6" w:rsidRPr="001F5FB2" w:rsidRDefault="00CA2BF6" w:rsidP="00CA2BF6">
            <w:pPr>
              <w:numPr>
                <w:ilvl w:val="3"/>
                <w:numId w:val="6"/>
              </w:numPr>
            </w:pPr>
            <w:r w:rsidRPr="001F5FB2">
              <w:t xml:space="preserve">Information which </w:t>
            </w:r>
            <w:r w:rsidRPr="001F5FB2">
              <w:rPr>
                <w:b/>
              </w:rPr>
              <w:t>may</w:t>
            </w:r>
            <w:r w:rsidRPr="001F5FB2">
              <w:t xml:space="preserve"> also be included pursuant to Annex 3 of the Policy Planning Handbook, such as:</w:t>
            </w:r>
          </w:p>
          <w:p w:rsidR="00CA2BF6" w:rsidRPr="001F5FB2" w:rsidRDefault="00CA2BF6" w:rsidP="00CA2BF6">
            <w:pPr>
              <w:numPr>
                <w:ilvl w:val="4"/>
                <w:numId w:val="6"/>
              </w:numPr>
            </w:pPr>
            <w:r w:rsidRPr="001F5FB2">
              <w:t>assessment of main achievements based on performance indicators;</w:t>
            </w:r>
          </w:p>
          <w:p w:rsidR="00CA2BF6" w:rsidRPr="001F5FB2" w:rsidRDefault="00CA2BF6" w:rsidP="00CA2BF6">
            <w:pPr>
              <w:numPr>
                <w:ilvl w:val="4"/>
                <w:numId w:val="6"/>
              </w:numPr>
            </w:pPr>
            <w:r w:rsidRPr="001F5FB2">
              <w:t>success stories;</w:t>
            </w:r>
          </w:p>
          <w:p w:rsidR="00CA2BF6" w:rsidRPr="001F5FB2" w:rsidRDefault="00CA2BF6" w:rsidP="00CA2BF6">
            <w:pPr>
              <w:numPr>
                <w:ilvl w:val="4"/>
                <w:numId w:val="6"/>
              </w:numPr>
            </w:pPr>
            <w:r w:rsidRPr="001F5FB2">
              <w:t>assessment of the gaps/challenges;</w:t>
            </w:r>
          </w:p>
          <w:p w:rsidR="00CA2BF6" w:rsidRPr="001F5FB2" w:rsidRDefault="00CA2BF6" w:rsidP="00220FD0">
            <w:pPr>
              <w:rPr>
                <w:sz w:val="10"/>
                <w:szCs w:val="10"/>
              </w:rPr>
            </w:pPr>
          </w:p>
          <w:p w:rsidR="00CA2BF6" w:rsidRPr="001F5FB2" w:rsidRDefault="00CA2BF6" w:rsidP="00CA2BF6">
            <w:pPr>
              <w:numPr>
                <w:ilvl w:val="0"/>
                <w:numId w:val="6"/>
              </w:numPr>
            </w:pPr>
            <w:r w:rsidRPr="001F5FB2">
              <w:lastRenderedPageBreak/>
              <w:t xml:space="preserve">The second set explicitly pertains to the sections of the monitoring report that elaborate on the performance of the action plans implementing the sectoral strategies. Thus, </w:t>
            </w:r>
            <w:r w:rsidRPr="001F5FB2">
              <w:rPr>
                <w:b/>
              </w:rPr>
              <w:t>each monitoring report must</w:t>
            </w:r>
            <w:r w:rsidRPr="001F5FB2">
              <w:t>:</w:t>
            </w:r>
          </w:p>
          <w:p w:rsidR="00CA2BF6" w:rsidRPr="001F5FB2" w:rsidRDefault="00CA2BF6" w:rsidP="00CA2BF6">
            <w:pPr>
              <w:numPr>
                <w:ilvl w:val="2"/>
                <w:numId w:val="7"/>
              </w:numPr>
            </w:pPr>
            <w:r w:rsidRPr="001F5FB2">
              <w:t>Show evidence of the degree of progress and/or delays in the implementation of the action plans of sectoral strategies, as well as</w:t>
            </w:r>
          </w:p>
          <w:p w:rsidR="00CA2BF6" w:rsidRPr="001F5FB2" w:rsidRDefault="00CA2BF6" w:rsidP="00CA2BF6">
            <w:pPr>
              <w:numPr>
                <w:ilvl w:val="2"/>
                <w:numId w:val="7"/>
              </w:numPr>
            </w:pPr>
            <w:r w:rsidRPr="001F5FB2">
              <w:t>Propose corrective actions, where necessary.</w:t>
            </w:r>
          </w:p>
          <w:p w:rsidR="00CA2BF6" w:rsidRPr="001F5FB2" w:rsidRDefault="00CA2BF6" w:rsidP="00220FD0"/>
          <w:p w:rsidR="00CA2BF6" w:rsidRPr="001F5FB2" w:rsidRDefault="00CA2BF6" w:rsidP="00220FD0">
            <w:r w:rsidRPr="001F5FB2">
              <w:t>It was common for most of the reports under this review to focus on listing the activities carried out but omitted to provide qualitative analyse of the impact and progress achieved, particularly against the indicators. Likewise, mentioning of any failure or problem encountered or foreseen and proposing corresponding measures are universally avoided or inadequately elaborated on. If not for these shortcomings, the Report on the Unified Strategy of Education and Science 2017-2021 would be 100% compliant with the Benchmark.</w:t>
            </w:r>
          </w:p>
          <w:p w:rsidR="00CA2BF6" w:rsidRPr="001F5FB2" w:rsidRDefault="00CA2BF6" w:rsidP="00220FD0">
            <w:r w:rsidRPr="001F5FB2">
              <w:t>In light of the qualitative requirements above, the particular reports are viewed as follows:</w:t>
            </w:r>
          </w:p>
          <w:p w:rsidR="00CA2BF6" w:rsidRPr="001F5FB2" w:rsidRDefault="00CA2BF6" w:rsidP="00220FD0"/>
          <w:p w:rsidR="00CA2BF6" w:rsidRPr="001F5FB2" w:rsidRDefault="00CA2BF6" w:rsidP="00CA2BF6">
            <w:pPr>
              <w:numPr>
                <w:ilvl w:val="0"/>
                <w:numId w:val="8"/>
              </w:numPr>
              <w:rPr>
                <w:b/>
              </w:rPr>
            </w:pPr>
            <w:r w:rsidRPr="001F5FB2">
              <w:rPr>
                <w:b/>
              </w:rPr>
              <w:t>Monitoring report on the implementation of Agriculture Development Strategy Action Plan 2016</w:t>
            </w:r>
          </w:p>
          <w:p w:rsidR="00CA2BF6" w:rsidRPr="004E3C01" w:rsidRDefault="00CA2BF6" w:rsidP="00220FD0">
            <w:r w:rsidRPr="004E3C01">
              <w:t>This monitoring report slightly diverges from the Policy Planning Handbook (the executive summary and the assessment of all strategic objectives are rudimentary in comparison to the elements mandated by the Policy Planning Handbook). Although the Report may be significantly improved, it still meets the requirements from this benchmark.</w:t>
            </w:r>
          </w:p>
          <w:p w:rsidR="00CA2BF6" w:rsidRPr="004E3C01" w:rsidRDefault="00CA2BF6" w:rsidP="00220FD0">
            <w:pPr>
              <w:rPr>
                <w:u w:val="single"/>
              </w:rPr>
            </w:pPr>
            <w:r w:rsidRPr="004E3C01">
              <w:rPr>
                <w:u w:val="single"/>
              </w:rPr>
              <w:t>General assessment:</w:t>
            </w:r>
          </w:p>
          <w:p w:rsidR="00CA2BF6" w:rsidRPr="004E3C01" w:rsidRDefault="00CA2BF6" w:rsidP="00220FD0">
            <w:r w:rsidRPr="004E3C01">
              <w:t>This monitoring report slightly diverges from the Policy Planning Handbook (the executive summary and the assessment of all strategic objectives are rudimentary in comparison to the elements mandated by the Policy Planning Handbook). Although the Report may be improved, it still meets the requirements from this benchmark.</w:t>
            </w:r>
          </w:p>
          <w:p w:rsidR="00CA2BF6" w:rsidRPr="004E3C01" w:rsidRDefault="00CA2BF6" w:rsidP="00220FD0">
            <w:pPr>
              <w:rPr>
                <w:u w:val="single"/>
              </w:rPr>
            </w:pPr>
            <w:r w:rsidRPr="004E3C01">
              <w:rPr>
                <w:u w:val="single"/>
              </w:rPr>
              <w:t>General impression:</w:t>
            </w:r>
          </w:p>
          <w:p w:rsidR="00CA2BF6" w:rsidRPr="004E3C01" w:rsidRDefault="00CA2BF6" w:rsidP="00220FD0">
            <w:r w:rsidRPr="004E3C01">
              <w:t>The Report is not fully structured in accordance with the Policy Planning Handbook (e.g. weak mandatory executive summary and sections per each strategic objective i.e. direction). There are mainly aggregated data demonstrating achievements with a weak analytical narrative, announcement of future steps and corrective measures. These deficiencies should be rectified in the future reports in order to comply with the Handbook.</w:t>
            </w:r>
          </w:p>
          <w:p w:rsidR="00CA2BF6" w:rsidRPr="004338DB" w:rsidRDefault="00CA2BF6" w:rsidP="00220FD0">
            <w:pPr>
              <w:pStyle w:val="CommentText"/>
              <w:spacing w:line="360" w:lineRule="auto"/>
              <w:rPr>
                <w:rFonts w:ascii="Arial" w:hAnsi="Arial" w:cs="Arial"/>
                <w:lang w:eastAsia="en-US"/>
              </w:rPr>
            </w:pPr>
            <w:r w:rsidRPr="004E3C01">
              <w:rPr>
                <w:rFonts w:ascii="Arial" w:hAnsi="Arial" w:cs="Arial"/>
                <w:lang w:eastAsia="en-US"/>
              </w:rPr>
              <w:t>However, the justification why  the report is not fully structured in accordance with the Handbook could be the fact that the Agriculture Development Strategy Action plan was elaborated and approved more than a year before publishing the Handbook.</w:t>
            </w:r>
            <w:r w:rsidRPr="004338DB">
              <w:rPr>
                <w:rFonts w:ascii="Arial" w:hAnsi="Arial" w:cs="Arial"/>
                <w:lang w:eastAsia="en-US"/>
              </w:rPr>
              <w:t xml:space="preserve"> </w:t>
            </w:r>
          </w:p>
          <w:p w:rsidR="00CA2BF6" w:rsidRPr="002F0580" w:rsidRDefault="00CA2BF6" w:rsidP="00220FD0">
            <w:pPr>
              <w:rPr>
                <w:b/>
                <w:lang w:val="it-IT"/>
              </w:rPr>
            </w:pPr>
          </w:p>
          <w:p w:rsidR="00CA2BF6" w:rsidRPr="001F5FB2" w:rsidRDefault="00CA2BF6" w:rsidP="00CA2BF6">
            <w:pPr>
              <w:numPr>
                <w:ilvl w:val="0"/>
                <w:numId w:val="8"/>
              </w:numPr>
            </w:pPr>
            <w:r w:rsidRPr="001F5FB2">
              <w:rPr>
                <w:b/>
              </w:rPr>
              <w:t>Monitoring Report on Strategic Objectives and Action Plan for the Unified Strategy of Education and Science (2017-2021)</w:t>
            </w:r>
          </w:p>
          <w:p w:rsidR="00CA2BF6" w:rsidRPr="001F5FB2" w:rsidRDefault="00CA2BF6" w:rsidP="00220FD0">
            <w:pPr>
              <w:rPr>
                <w:u w:val="single"/>
              </w:rPr>
            </w:pPr>
            <w:r w:rsidRPr="001F5FB2">
              <w:rPr>
                <w:u w:val="single"/>
              </w:rPr>
              <w:t>General impression</w:t>
            </w:r>
          </w:p>
          <w:p w:rsidR="00CA2BF6" w:rsidRPr="001F5FB2" w:rsidRDefault="00CA2BF6" w:rsidP="00220FD0">
            <w:r w:rsidRPr="001F5FB2">
              <w:t>This monitoring report is very well developed and very comprehensive. Just analytical views on the failures and problems encountered as well as corrective measures and future steps are missing. With these shortcomings rectified</w:t>
            </w:r>
            <w:r>
              <w:t xml:space="preserve"> </w:t>
            </w:r>
            <w:r w:rsidRPr="001F5FB2">
              <w:rPr>
                <w:b/>
              </w:rPr>
              <w:t>this report could serve as a best-practice model</w:t>
            </w:r>
            <w:r w:rsidRPr="001F5FB2">
              <w:t xml:space="preserve"> against which other monitoring reports could be drafted.</w:t>
            </w:r>
          </w:p>
          <w:p w:rsidR="00CA2BF6" w:rsidRPr="001F5FB2" w:rsidRDefault="00CA2BF6" w:rsidP="00220FD0">
            <w:pPr>
              <w:rPr>
                <w:b/>
              </w:rPr>
            </w:pPr>
          </w:p>
          <w:p w:rsidR="00CA2BF6" w:rsidRPr="00AF3FEC" w:rsidRDefault="00CA2BF6" w:rsidP="00CA2BF6">
            <w:pPr>
              <w:numPr>
                <w:ilvl w:val="0"/>
                <w:numId w:val="8"/>
              </w:numPr>
              <w:rPr>
                <w:b/>
                <w:highlight w:val="yellow"/>
              </w:rPr>
            </w:pPr>
            <w:r w:rsidRPr="00AF3FEC">
              <w:rPr>
                <w:b/>
                <w:highlight w:val="yellow"/>
              </w:rPr>
              <w:t>National Hepatitis C Virus Elimination Progress Report, Georgia 2015-2017</w:t>
            </w:r>
          </w:p>
          <w:p w:rsidR="00CA2BF6" w:rsidRPr="00AF3FEC" w:rsidRDefault="00CA2BF6" w:rsidP="00220FD0">
            <w:pPr>
              <w:rPr>
                <w:highlight w:val="yellow"/>
              </w:rPr>
            </w:pPr>
            <w:r w:rsidRPr="00AF3FEC">
              <w:rPr>
                <w:highlight w:val="yellow"/>
              </w:rPr>
              <w:t xml:space="preserve">This report covers the time span between mid-2015 up to 2017 which is not completely in line with the requirement from the Handbook. This report is now official document and is available at the following link: </w:t>
            </w:r>
            <w:hyperlink r:id="rId7" w:tgtFrame="_blank" w:history="1">
              <w:r w:rsidRPr="00AF3FEC">
                <w:rPr>
                  <w:rStyle w:val="Hyperlink"/>
                  <w:highlight w:val="yellow"/>
                </w:rPr>
                <w:t>http://www.ncdc.ge/Pages/User/Documents.aspx?ID=33a11d14-e71c-4b28-ad39-d6670090664c</w:t>
              </w:r>
            </w:hyperlink>
          </w:p>
          <w:p w:rsidR="00CA2BF6" w:rsidRPr="00AF3FEC" w:rsidRDefault="00CA2BF6" w:rsidP="00220FD0">
            <w:pPr>
              <w:rPr>
                <w:highlight w:val="yellow"/>
                <w:u w:val="single"/>
              </w:rPr>
            </w:pPr>
            <w:r w:rsidRPr="00AF3FEC">
              <w:rPr>
                <w:highlight w:val="yellow"/>
                <w:u w:val="single"/>
              </w:rPr>
              <w:t>General impression</w:t>
            </w:r>
          </w:p>
          <w:p w:rsidR="00CA2BF6" w:rsidRPr="001F5FB2" w:rsidRDefault="00CA2BF6" w:rsidP="00220FD0">
            <w:r w:rsidRPr="00AF3FEC">
              <w:rPr>
                <w:highlight w:val="yellow"/>
              </w:rPr>
              <w:t xml:space="preserve">While the report is rather strong and informative in substantive terms, as well as its appendices are eye-catching, which is not subject of this review, it does not meet the formal requirement to cover a time span of a year, or less. </w:t>
            </w:r>
            <w:r w:rsidRPr="00AF3FEC">
              <w:rPr>
                <w:highlight w:val="yellow"/>
              </w:rPr>
              <w:lastRenderedPageBreak/>
              <w:t>The presentation of the indicators is neither easily visible nor existent in all instances and, consequently, the analysis of the progress against the indicators is weak. Likewise, there is no information on any action plan for the implementation of the strategies. As already mentioned above, the form and the content of the future reports should be aligned with the requirements from the Handbook.</w:t>
            </w:r>
          </w:p>
          <w:p w:rsidR="00CA2BF6" w:rsidRPr="001F5FB2" w:rsidRDefault="00CA2BF6" w:rsidP="00220FD0">
            <w:r w:rsidRPr="001F5FB2">
              <w:t>.</w:t>
            </w:r>
          </w:p>
          <w:p w:rsidR="00CA2BF6" w:rsidRPr="001F5FB2" w:rsidRDefault="00CA2BF6" w:rsidP="00220FD0">
            <w:pPr>
              <w:rPr>
                <w:b/>
              </w:rPr>
            </w:pPr>
          </w:p>
          <w:p w:rsidR="00CA2BF6" w:rsidRPr="001F5FB2" w:rsidRDefault="00CA2BF6" w:rsidP="00220FD0">
            <w:pPr>
              <w:ind w:left="1506"/>
              <w:rPr>
                <w:b/>
                <w:i/>
              </w:rPr>
            </w:pPr>
          </w:p>
        </w:tc>
      </w:tr>
    </w:tbl>
    <w:p w:rsidR="00AF3FEC" w:rsidRDefault="00AF3FEC" w:rsidP="00AF3FEC">
      <w:pPr>
        <w:autoSpaceDE/>
        <w:autoSpaceDN/>
        <w:adjustRightInd/>
        <w:spacing w:after="200" w:line="276" w:lineRule="auto"/>
        <w:jc w:val="left"/>
        <w:rPr>
          <w:rFonts w:cs="Arial"/>
          <w:color w:val="auto"/>
          <w:lang w:val="en-US"/>
        </w:rPr>
      </w:pPr>
    </w:p>
    <w:p w:rsidR="00AF3FEC" w:rsidRDefault="00AF3FEC" w:rsidP="00AF3FEC">
      <w:pPr>
        <w:autoSpaceDE/>
        <w:autoSpaceDN/>
        <w:adjustRightInd/>
        <w:spacing w:after="200" w:line="276" w:lineRule="auto"/>
        <w:jc w:val="left"/>
        <w:rPr>
          <w:rFonts w:cs="Arial"/>
          <w:color w:val="auto"/>
          <w:lang w:val="en-US"/>
        </w:rPr>
      </w:pPr>
    </w:p>
    <w:p w:rsidR="00AF3FEC" w:rsidRDefault="00AF3FEC" w:rsidP="00AF3FEC">
      <w:pPr>
        <w:autoSpaceDE/>
        <w:autoSpaceDN/>
        <w:adjustRightInd/>
        <w:spacing w:after="200" w:line="276" w:lineRule="auto"/>
        <w:jc w:val="left"/>
        <w:rPr>
          <w:rFonts w:cs="Arial"/>
          <w:color w:val="auto"/>
          <w:lang w:val="en-US"/>
        </w:rPr>
      </w:pPr>
    </w:p>
    <w:p w:rsidR="00AF3FEC" w:rsidRDefault="00AF3FEC" w:rsidP="00AF3FEC">
      <w:pPr>
        <w:autoSpaceDE/>
        <w:autoSpaceDN/>
        <w:adjustRightInd/>
        <w:spacing w:after="200" w:line="276" w:lineRule="auto"/>
        <w:jc w:val="left"/>
        <w:rPr>
          <w:rFonts w:cs="Arial"/>
          <w:color w:val="auto"/>
          <w:lang w:val="en-US"/>
        </w:rPr>
      </w:pPr>
      <w:bookmarkStart w:id="2" w:name="_GoBack"/>
      <w:bookmarkEnd w:id="2"/>
    </w:p>
    <w:p w:rsidR="00AF3FEC" w:rsidRDefault="00AF3FEC" w:rsidP="00AF3FEC">
      <w:pPr>
        <w:autoSpaceDE/>
        <w:autoSpaceDN/>
        <w:adjustRightInd/>
        <w:spacing w:after="200" w:line="276" w:lineRule="auto"/>
        <w:jc w:val="left"/>
        <w:rPr>
          <w:rFonts w:cs="Arial"/>
          <w:color w:val="auto"/>
          <w:lang w:val="en-US"/>
        </w:rPr>
      </w:pPr>
    </w:p>
    <w:p w:rsidR="00AF3FEC" w:rsidRDefault="00AF3FEC" w:rsidP="00AF3FEC">
      <w:pPr>
        <w:autoSpaceDE/>
        <w:autoSpaceDN/>
        <w:adjustRightInd/>
        <w:spacing w:after="200" w:line="276" w:lineRule="auto"/>
        <w:jc w:val="left"/>
        <w:rPr>
          <w:rFonts w:cs="Arial"/>
          <w:color w:val="auto"/>
          <w:lang w:val="en-US"/>
        </w:rPr>
      </w:pPr>
    </w:p>
    <w:p w:rsidR="00AF3FEC" w:rsidRDefault="00AF3FEC" w:rsidP="00AF3FEC">
      <w:pPr>
        <w:autoSpaceDE/>
        <w:autoSpaceDN/>
        <w:adjustRightInd/>
        <w:spacing w:after="200" w:line="276" w:lineRule="auto"/>
        <w:jc w:val="left"/>
        <w:rPr>
          <w:rFonts w:cs="Arial"/>
          <w:color w:val="auto"/>
          <w:lang w:val="en-US"/>
        </w:rPr>
      </w:pPr>
    </w:p>
    <w:p w:rsidR="00AF3FEC" w:rsidRDefault="00AF3FEC" w:rsidP="00AF3FEC">
      <w:pPr>
        <w:autoSpaceDE/>
        <w:autoSpaceDN/>
        <w:adjustRightInd/>
        <w:spacing w:after="200" w:line="276" w:lineRule="auto"/>
        <w:jc w:val="left"/>
        <w:rPr>
          <w:rFonts w:cs="Arial"/>
          <w:color w:val="auto"/>
          <w:lang w:val="en-US"/>
        </w:rPr>
      </w:pPr>
    </w:p>
    <w:p w:rsidR="00AF3FEC" w:rsidRDefault="00AF3FEC" w:rsidP="00AF3FEC">
      <w:pPr>
        <w:autoSpaceDE/>
        <w:autoSpaceDN/>
        <w:adjustRightInd/>
        <w:spacing w:after="200" w:line="276" w:lineRule="auto"/>
        <w:jc w:val="left"/>
        <w:rPr>
          <w:rFonts w:cs="Arial"/>
          <w:color w:val="auto"/>
          <w:lang w:val="en-US"/>
        </w:rPr>
      </w:pPr>
    </w:p>
    <w:p w:rsidR="00AF3FEC" w:rsidRDefault="00AF3FEC" w:rsidP="00AF3FEC">
      <w:pPr>
        <w:autoSpaceDE/>
        <w:autoSpaceDN/>
        <w:adjustRightInd/>
        <w:spacing w:after="200" w:line="276" w:lineRule="auto"/>
        <w:jc w:val="left"/>
        <w:rPr>
          <w:rFonts w:cs="Arial"/>
          <w:color w:val="auto"/>
          <w:lang w:val="en-US"/>
        </w:rPr>
      </w:pPr>
    </w:p>
    <w:p w:rsidR="00AF3FEC" w:rsidRDefault="00AF3FEC" w:rsidP="00AF3FEC">
      <w:pPr>
        <w:autoSpaceDE/>
        <w:autoSpaceDN/>
        <w:adjustRightInd/>
        <w:spacing w:after="200" w:line="276" w:lineRule="auto"/>
        <w:jc w:val="left"/>
        <w:rPr>
          <w:rFonts w:cs="Arial"/>
          <w:color w:val="auto"/>
          <w:lang w:val="en-US"/>
        </w:rPr>
      </w:pPr>
    </w:p>
    <w:p w:rsidR="00AF3FEC" w:rsidRDefault="00AF3FEC" w:rsidP="00AF3FEC">
      <w:pPr>
        <w:autoSpaceDE/>
        <w:autoSpaceDN/>
        <w:adjustRightInd/>
        <w:spacing w:after="200" w:line="276" w:lineRule="auto"/>
        <w:jc w:val="left"/>
        <w:rPr>
          <w:rFonts w:cs="Arial"/>
          <w:color w:val="auto"/>
          <w:lang w:val="en-US"/>
        </w:rPr>
      </w:pPr>
    </w:p>
    <w:p w:rsidR="00AF3FEC" w:rsidRDefault="00AF3FEC" w:rsidP="00AF3FEC">
      <w:pPr>
        <w:autoSpaceDE/>
        <w:autoSpaceDN/>
        <w:adjustRightInd/>
        <w:spacing w:after="200" w:line="276" w:lineRule="auto"/>
        <w:jc w:val="left"/>
        <w:rPr>
          <w:rFonts w:cs="Arial"/>
          <w:color w:val="auto"/>
          <w:lang w:val="en-US"/>
        </w:rPr>
      </w:pPr>
    </w:p>
    <w:p w:rsidR="00AF3FEC" w:rsidRDefault="00AF3FEC" w:rsidP="00AF3FEC">
      <w:pPr>
        <w:autoSpaceDE/>
        <w:autoSpaceDN/>
        <w:adjustRightInd/>
        <w:spacing w:after="200" w:line="276" w:lineRule="auto"/>
        <w:jc w:val="left"/>
        <w:rPr>
          <w:rFonts w:cs="Arial"/>
          <w:color w:val="auto"/>
          <w:lang w:val="en-US"/>
        </w:rPr>
      </w:pPr>
    </w:p>
    <w:p w:rsidR="00AF3FEC" w:rsidRDefault="00AF3FEC" w:rsidP="00AF3FEC">
      <w:pPr>
        <w:autoSpaceDE/>
        <w:autoSpaceDN/>
        <w:adjustRightInd/>
        <w:spacing w:after="200" w:line="276" w:lineRule="auto"/>
        <w:jc w:val="left"/>
        <w:rPr>
          <w:rFonts w:cs="Arial"/>
          <w:color w:val="auto"/>
          <w:lang w:val="en-US"/>
        </w:rPr>
      </w:pPr>
    </w:p>
    <w:p w:rsidR="00AF3FEC" w:rsidRDefault="00AF3FEC" w:rsidP="00AF3FEC">
      <w:pPr>
        <w:autoSpaceDE/>
        <w:autoSpaceDN/>
        <w:adjustRightInd/>
        <w:spacing w:after="200" w:line="276" w:lineRule="auto"/>
        <w:jc w:val="left"/>
        <w:rPr>
          <w:rFonts w:cs="Arial"/>
          <w:color w:val="auto"/>
          <w:lang w:val="en-US"/>
        </w:rPr>
      </w:pPr>
    </w:p>
    <w:p w:rsidR="00AF3FEC" w:rsidRDefault="00AF3FEC" w:rsidP="00AF3FEC">
      <w:pPr>
        <w:autoSpaceDE/>
        <w:autoSpaceDN/>
        <w:adjustRightInd/>
        <w:spacing w:after="200" w:line="276" w:lineRule="auto"/>
        <w:jc w:val="left"/>
        <w:rPr>
          <w:rFonts w:cs="Arial"/>
          <w:color w:val="auto"/>
          <w:lang w:val="en-US"/>
        </w:rPr>
      </w:pPr>
    </w:p>
    <w:p w:rsidR="00AF3FEC" w:rsidRDefault="00AF3FEC" w:rsidP="00AF3FEC">
      <w:pPr>
        <w:autoSpaceDE/>
        <w:autoSpaceDN/>
        <w:adjustRightInd/>
        <w:spacing w:after="200" w:line="276" w:lineRule="auto"/>
        <w:jc w:val="left"/>
        <w:rPr>
          <w:rFonts w:cs="Arial"/>
          <w:color w:val="auto"/>
          <w:lang w:val="en-US"/>
        </w:rPr>
      </w:pPr>
    </w:p>
    <w:p w:rsidR="00AF3FEC" w:rsidRDefault="00AF3FEC" w:rsidP="00AF3FEC">
      <w:pPr>
        <w:autoSpaceDE/>
        <w:autoSpaceDN/>
        <w:adjustRightInd/>
        <w:spacing w:after="200" w:line="276" w:lineRule="auto"/>
        <w:jc w:val="left"/>
        <w:rPr>
          <w:rFonts w:cs="Arial"/>
          <w:color w:val="auto"/>
          <w:lang w:val="en-US"/>
        </w:rPr>
      </w:pPr>
    </w:p>
    <w:p w:rsidR="00AF3FEC" w:rsidRDefault="00AF3FEC" w:rsidP="00AF3FEC">
      <w:pPr>
        <w:autoSpaceDE/>
        <w:autoSpaceDN/>
        <w:adjustRightInd/>
        <w:spacing w:after="200" w:line="276" w:lineRule="auto"/>
        <w:jc w:val="left"/>
        <w:rPr>
          <w:rFonts w:cs="Arial"/>
          <w:color w:val="auto"/>
          <w:lang w:val="en-US"/>
        </w:rPr>
      </w:pPr>
    </w:p>
    <w:p w:rsidR="00AF3FEC" w:rsidRDefault="00AF3FEC" w:rsidP="00AF3FEC">
      <w:pPr>
        <w:autoSpaceDE/>
        <w:autoSpaceDN/>
        <w:adjustRightInd/>
        <w:spacing w:after="200" w:line="276" w:lineRule="auto"/>
        <w:jc w:val="left"/>
        <w:rPr>
          <w:rFonts w:cs="Arial"/>
          <w:color w:val="auto"/>
          <w:lang w:val="en-US"/>
        </w:rPr>
      </w:pPr>
    </w:p>
    <w:p w:rsidR="00AF3FEC" w:rsidRDefault="00AF3FEC" w:rsidP="00AF3FEC">
      <w:pPr>
        <w:autoSpaceDE/>
        <w:autoSpaceDN/>
        <w:adjustRightInd/>
        <w:spacing w:after="200" w:line="276" w:lineRule="auto"/>
        <w:jc w:val="left"/>
        <w:rPr>
          <w:rFonts w:cs="Arial"/>
          <w:color w:val="auto"/>
          <w:lang w:val="en-US"/>
        </w:rPr>
      </w:pPr>
    </w:p>
    <w:p w:rsidR="00AF3FEC" w:rsidRDefault="00AF3FEC" w:rsidP="00AF3FEC">
      <w:pPr>
        <w:autoSpaceDE/>
        <w:autoSpaceDN/>
        <w:adjustRightInd/>
        <w:spacing w:after="200" w:line="276" w:lineRule="auto"/>
        <w:jc w:val="left"/>
        <w:rPr>
          <w:rFonts w:cs="Arial"/>
          <w:color w:val="auto"/>
          <w:lang w:val="en-US"/>
        </w:rPr>
      </w:pPr>
    </w:p>
    <w:p w:rsidR="00AF3FEC" w:rsidRDefault="00AF3FEC" w:rsidP="00AF3FEC">
      <w:pPr>
        <w:autoSpaceDE/>
        <w:autoSpaceDN/>
        <w:adjustRightInd/>
        <w:spacing w:after="200" w:line="276" w:lineRule="auto"/>
        <w:jc w:val="left"/>
        <w:rPr>
          <w:rFonts w:cs="Arial"/>
          <w:color w:val="auto"/>
          <w:lang w:val="en-US"/>
        </w:rPr>
      </w:pPr>
    </w:p>
    <w:p w:rsidR="00AF3FEC" w:rsidRPr="00AF3FEC" w:rsidRDefault="00AF3FEC" w:rsidP="00AF3FEC">
      <w:pPr>
        <w:pStyle w:val="Heading2"/>
        <w:numPr>
          <w:ilvl w:val="0"/>
          <w:numId w:val="0"/>
        </w:numPr>
        <w:ind w:left="576" w:hanging="150"/>
        <w:rPr>
          <w:lang w:val="en-US"/>
        </w:rPr>
      </w:pPr>
      <w:bookmarkStart w:id="3" w:name="_Toc521937471"/>
      <w:r>
        <w:rPr>
          <w:lang w:val="en-US"/>
        </w:rPr>
        <w:lastRenderedPageBreak/>
        <w:t xml:space="preserve">Annex B3 – </w:t>
      </w:r>
      <w:proofErr w:type="spellStart"/>
      <w:r w:rsidRPr="00D07A24">
        <w:t>Review</w:t>
      </w:r>
      <w:proofErr w:type="spellEnd"/>
      <w:r w:rsidRPr="00C858F8">
        <w:rPr>
          <w:lang w:val="en-US"/>
        </w:rPr>
        <w:t xml:space="preserve"> of the monitoring report re. the elimination of hepatitis c virus strategy</w:t>
      </w:r>
      <w:bookmarkEnd w:id="3"/>
    </w:p>
    <w:p w:rsidR="00AF3FEC" w:rsidRDefault="00AF3FEC" w:rsidP="00AF3FEC">
      <w:pPr>
        <w:jc w:val="center"/>
        <w:rPr>
          <w:rFonts w:cs="Arial"/>
          <w:color w:val="auto"/>
          <w:lang w:val="en-US"/>
        </w:rPr>
      </w:pPr>
      <w:r w:rsidRPr="00703D05">
        <w:rPr>
          <w:noProof/>
          <w:lang w:val="ka-GE" w:eastAsia="ka-GE"/>
        </w:rPr>
        <w:drawing>
          <wp:inline distT="0" distB="0" distL="0" distR="0">
            <wp:extent cx="5210175" cy="64674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0175" cy="6467475"/>
                    </a:xfrm>
                    <a:prstGeom prst="rect">
                      <a:avLst/>
                    </a:prstGeom>
                    <a:noFill/>
                    <a:ln>
                      <a:noFill/>
                    </a:ln>
                  </pic:spPr>
                </pic:pic>
              </a:graphicData>
            </a:graphic>
          </wp:inline>
        </w:drawing>
      </w:r>
    </w:p>
    <w:p w:rsidR="00AF3FEC" w:rsidRDefault="00AF3FEC" w:rsidP="00AF3FEC">
      <w:pPr>
        <w:jc w:val="center"/>
        <w:rPr>
          <w:rFonts w:cs="Arial"/>
          <w:color w:val="auto"/>
          <w:lang w:val="en-US"/>
        </w:rPr>
      </w:pPr>
    </w:p>
    <w:p w:rsidR="00AF3FEC" w:rsidRDefault="00AF3FEC" w:rsidP="00AF3FEC">
      <w:pPr>
        <w:jc w:val="center"/>
        <w:rPr>
          <w:rFonts w:cs="Arial"/>
          <w:color w:val="auto"/>
          <w:lang w:val="en-US"/>
        </w:rPr>
      </w:pPr>
    </w:p>
    <w:p w:rsidR="00AF3FEC" w:rsidRDefault="00AF3FEC" w:rsidP="00AF3FEC">
      <w:pPr>
        <w:jc w:val="center"/>
        <w:rPr>
          <w:rFonts w:cs="Arial"/>
          <w:color w:val="auto"/>
          <w:lang w:val="en-US"/>
        </w:rPr>
      </w:pPr>
    </w:p>
    <w:p w:rsidR="00AF3FEC" w:rsidRDefault="00AF3FEC" w:rsidP="00AF3FEC">
      <w:pPr>
        <w:jc w:val="center"/>
        <w:rPr>
          <w:rFonts w:cs="Arial"/>
          <w:color w:val="auto"/>
          <w:lang w:val="en-US"/>
        </w:rPr>
      </w:pPr>
    </w:p>
    <w:p w:rsidR="00AF3FEC" w:rsidRDefault="00AF3FEC" w:rsidP="00AF3FEC">
      <w:pPr>
        <w:jc w:val="center"/>
        <w:rPr>
          <w:rFonts w:cs="Arial"/>
          <w:color w:val="auto"/>
          <w:lang w:val="en-US"/>
        </w:rPr>
      </w:pPr>
    </w:p>
    <w:p w:rsidR="00AF3FEC" w:rsidRDefault="00AF3FEC" w:rsidP="00AF3FEC">
      <w:pPr>
        <w:jc w:val="center"/>
        <w:rPr>
          <w:rFonts w:cs="Arial"/>
          <w:color w:val="auto"/>
          <w:lang w:val="en-US"/>
        </w:rPr>
      </w:pPr>
    </w:p>
    <w:p w:rsidR="00AF3FEC" w:rsidRDefault="00AF3FEC" w:rsidP="00AF3FEC">
      <w:pPr>
        <w:jc w:val="center"/>
        <w:rPr>
          <w:rFonts w:cs="Arial"/>
          <w:color w:val="auto"/>
          <w:lang w:val="en-US"/>
        </w:rPr>
      </w:pPr>
    </w:p>
    <w:p w:rsidR="00AF3FEC" w:rsidRDefault="00AF3FEC" w:rsidP="00AF3FEC">
      <w:pPr>
        <w:jc w:val="center"/>
        <w:rPr>
          <w:rFonts w:cs="Arial"/>
          <w:color w:val="auto"/>
          <w:lang w:val="en-US"/>
        </w:rPr>
      </w:pPr>
    </w:p>
    <w:p w:rsidR="00AF3FEC" w:rsidRDefault="00AF3FEC" w:rsidP="00AF3FEC">
      <w:pPr>
        <w:jc w:val="center"/>
        <w:rPr>
          <w:rFonts w:cs="Arial"/>
          <w:color w:val="auto"/>
          <w:lang w:val="en-US"/>
        </w:rPr>
      </w:pPr>
    </w:p>
    <w:p w:rsidR="00AF3FEC" w:rsidRDefault="00AF3FEC" w:rsidP="00AF3FEC">
      <w:pPr>
        <w:jc w:val="center"/>
        <w:rPr>
          <w:rFonts w:cs="Arial"/>
          <w:color w:val="auto"/>
          <w:lang w:val="en-US"/>
        </w:rPr>
      </w:pPr>
    </w:p>
    <w:p w:rsidR="00AF3FEC" w:rsidRDefault="00AF3FEC" w:rsidP="00AF3FEC">
      <w:pPr>
        <w:jc w:val="center"/>
        <w:rPr>
          <w:rFonts w:cs="Arial"/>
          <w:color w:val="auto"/>
          <w:lang w:val="en-US"/>
        </w:rPr>
      </w:pPr>
      <w:r w:rsidRPr="00703D05">
        <w:rPr>
          <w:noProof/>
          <w:lang w:val="ka-GE" w:eastAsia="ka-GE"/>
        </w:rPr>
        <w:drawing>
          <wp:inline distT="0" distB="0" distL="0" distR="0">
            <wp:extent cx="5219700" cy="7448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9700" cy="7448550"/>
                    </a:xfrm>
                    <a:prstGeom prst="rect">
                      <a:avLst/>
                    </a:prstGeom>
                    <a:noFill/>
                    <a:ln>
                      <a:noFill/>
                    </a:ln>
                  </pic:spPr>
                </pic:pic>
              </a:graphicData>
            </a:graphic>
          </wp:inline>
        </w:drawing>
      </w:r>
    </w:p>
    <w:p w:rsidR="00AF3FEC" w:rsidRDefault="00AF3FEC" w:rsidP="00AF3FEC">
      <w:pPr>
        <w:jc w:val="center"/>
        <w:rPr>
          <w:rFonts w:cs="Arial"/>
          <w:color w:val="auto"/>
          <w:lang w:val="en-US"/>
        </w:rPr>
      </w:pPr>
    </w:p>
    <w:p w:rsidR="00AF3FEC" w:rsidRDefault="00AF3FEC" w:rsidP="00AF3FEC">
      <w:pPr>
        <w:jc w:val="center"/>
        <w:rPr>
          <w:rFonts w:cs="Arial"/>
          <w:color w:val="auto"/>
          <w:lang w:val="en-US"/>
        </w:rPr>
      </w:pPr>
    </w:p>
    <w:p w:rsidR="00AF3FEC" w:rsidRDefault="00AF3FEC" w:rsidP="00AF3FEC">
      <w:pPr>
        <w:jc w:val="center"/>
        <w:rPr>
          <w:rFonts w:cs="Arial"/>
          <w:color w:val="auto"/>
          <w:lang w:val="en-US"/>
        </w:rPr>
      </w:pPr>
    </w:p>
    <w:p w:rsidR="00AF3FEC" w:rsidRDefault="00AF3FEC" w:rsidP="00AF3FEC">
      <w:pPr>
        <w:jc w:val="center"/>
        <w:rPr>
          <w:rFonts w:cs="Arial"/>
          <w:color w:val="auto"/>
          <w:lang w:val="en-US"/>
        </w:rPr>
      </w:pPr>
    </w:p>
    <w:p w:rsidR="00AF3FEC" w:rsidRDefault="00AF3FEC" w:rsidP="00AF3FEC">
      <w:pPr>
        <w:jc w:val="center"/>
        <w:rPr>
          <w:rFonts w:cs="Arial"/>
          <w:color w:val="auto"/>
          <w:lang w:val="en-US"/>
        </w:rPr>
      </w:pPr>
    </w:p>
    <w:p w:rsidR="00AF3FEC" w:rsidRDefault="00AF3FEC" w:rsidP="00AF3FEC">
      <w:pPr>
        <w:jc w:val="center"/>
        <w:rPr>
          <w:rFonts w:cs="Arial"/>
          <w:color w:val="auto"/>
          <w:lang w:val="en-US"/>
        </w:rPr>
      </w:pPr>
    </w:p>
    <w:p w:rsidR="00AF3FEC" w:rsidRDefault="00AF3FEC" w:rsidP="00AF3FEC">
      <w:pPr>
        <w:jc w:val="center"/>
        <w:rPr>
          <w:rFonts w:cs="Arial"/>
          <w:color w:val="auto"/>
          <w:lang w:val="en-US"/>
        </w:rPr>
      </w:pPr>
    </w:p>
    <w:p w:rsidR="00AF3FEC" w:rsidRDefault="00AF3FEC" w:rsidP="00AF3FEC">
      <w:pPr>
        <w:jc w:val="center"/>
        <w:rPr>
          <w:rFonts w:cs="Arial"/>
          <w:color w:val="auto"/>
          <w:lang w:val="en-US"/>
        </w:rPr>
      </w:pPr>
    </w:p>
    <w:p w:rsidR="00AF3FEC" w:rsidRDefault="00AF3FEC" w:rsidP="00AF3FEC">
      <w:pPr>
        <w:jc w:val="center"/>
        <w:rPr>
          <w:rFonts w:cs="Arial"/>
          <w:color w:val="auto"/>
          <w:lang w:val="en-US"/>
        </w:rPr>
      </w:pPr>
      <w:r w:rsidRPr="00703D05">
        <w:rPr>
          <w:noProof/>
          <w:lang w:val="ka-GE" w:eastAsia="ka-GE"/>
        </w:rPr>
        <w:drawing>
          <wp:inline distT="0" distB="0" distL="0" distR="0">
            <wp:extent cx="5314950" cy="7372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14950" cy="7372350"/>
                    </a:xfrm>
                    <a:prstGeom prst="rect">
                      <a:avLst/>
                    </a:prstGeom>
                    <a:noFill/>
                    <a:ln>
                      <a:noFill/>
                    </a:ln>
                  </pic:spPr>
                </pic:pic>
              </a:graphicData>
            </a:graphic>
          </wp:inline>
        </w:drawing>
      </w:r>
    </w:p>
    <w:p w:rsidR="00AF3FEC" w:rsidRDefault="00AF3FEC" w:rsidP="00AF3FEC">
      <w:pPr>
        <w:jc w:val="center"/>
        <w:rPr>
          <w:rFonts w:cs="Arial"/>
          <w:color w:val="auto"/>
          <w:lang w:val="en-US"/>
        </w:rPr>
      </w:pPr>
    </w:p>
    <w:p w:rsidR="00AF3FEC" w:rsidRDefault="00AF3FEC" w:rsidP="00AF3FEC">
      <w:pPr>
        <w:jc w:val="center"/>
        <w:rPr>
          <w:rFonts w:cs="Arial"/>
          <w:color w:val="auto"/>
          <w:lang w:val="en-US"/>
        </w:rPr>
      </w:pPr>
    </w:p>
    <w:p w:rsidR="00AF3FEC" w:rsidRDefault="00AF3FEC" w:rsidP="00AF3FEC">
      <w:pPr>
        <w:jc w:val="center"/>
        <w:rPr>
          <w:rFonts w:cs="Arial"/>
          <w:color w:val="auto"/>
          <w:lang w:val="en-US"/>
        </w:rPr>
      </w:pPr>
    </w:p>
    <w:p w:rsidR="00AF3FEC" w:rsidRDefault="00AF3FEC" w:rsidP="00AF3FEC">
      <w:pPr>
        <w:jc w:val="center"/>
        <w:rPr>
          <w:rFonts w:cs="Arial"/>
          <w:color w:val="auto"/>
          <w:lang w:val="en-US"/>
        </w:rPr>
      </w:pPr>
    </w:p>
    <w:p w:rsidR="00AF3FEC" w:rsidRDefault="00AF3FEC" w:rsidP="00AF3FEC">
      <w:pPr>
        <w:jc w:val="center"/>
        <w:rPr>
          <w:rFonts w:cs="Arial"/>
          <w:color w:val="auto"/>
          <w:lang w:val="en-US"/>
        </w:rPr>
      </w:pPr>
    </w:p>
    <w:p w:rsidR="00AF3FEC" w:rsidRDefault="00AF3FEC" w:rsidP="00AF3FEC">
      <w:pPr>
        <w:jc w:val="center"/>
        <w:rPr>
          <w:rFonts w:cs="Arial"/>
          <w:color w:val="auto"/>
          <w:lang w:val="en-US"/>
        </w:rPr>
      </w:pPr>
    </w:p>
    <w:p w:rsidR="00AF3FEC" w:rsidRDefault="00AF3FEC" w:rsidP="00AF3FEC">
      <w:pPr>
        <w:jc w:val="center"/>
        <w:rPr>
          <w:rFonts w:cs="Arial"/>
          <w:color w:val="auto"/>
          <w:lang w:val="en-US"/>
        </w:rPr>
      </w:pPr>
    </w:p>
    <w:p w:rsidR="00AF3FEC" w:rsidRDefault="00AF3FEC" w:rsidP="00AF3FEC">
      <w:pPr>
        <w:jc w:val="center"/>
        <w:rPr>
          <w:rFonts w:cs="Arial"/>
          <w:color w:val="auto"/>
          <w:lang w:val="en-US"/>
        </w:rPr>
      </w:pPr>
    </w:p>
    <w:p w:rsidR="00AF3FEC" w:rsidRDefault="00AF3FEC" w:rsidP="00AF3FEC">
      <w:pPr>
        <w:jc w:val="center"/>
        <w:rPr>
          <w:rFonts w:cs="Arial"/>
          <w:color w:val="auto"/>
          <w:lang w:val="en-US"/>
        </w:rPr>
      </w:pPr>
      <w:r w:rsidRPr="00703D05">
        <w:rPr>
          <w:noProof/>
          <w:lang w:val="ka-GE" w:eastAsia="ka-GE"/>
        </w:rPr>
        <w:drawing>
          <wp:inline distT="0" distB="0" distL="0" distR="0">
            <wp:extent cx="5200650" cy="7362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0650" cy="7362825"/>
                    </a:xfrm>
                    <a:prstGeom prst="rect">
                      <a:avLst/>
                    </a:prstGeom>
                    <a:noFill/>
                    <a:ln>
                      <a:noFill/>
                    </a:ln>
                  </pic:spPr>
                </pic:pic>
              </a:graphicData>
            </a:graphic>
          </wp:inline>
        </w:drawing>
      </w:r>
    </w:p>
    <w:p w:rsidR="00AF3FEC" w:rsidRDefault="00AF3FEC" w:rsidP="00AF3FEC">
      <w:pPr>
        <w:jc w:val="center"/>
        <w:rPr>
          <w:rFonts w:cs="Arial"/>
          <w:color w:val="auto"/>
          <w:lang w:val="en-US"/>
        </w:rPr>
      </w:pPr>
    </w:p>
    <w:p w:rsidR="00AF3FEC" w:rsidRDefault="00AF3FEC" w:rsidP="00AF3FEC">
      <w:pPr>
        <w:jc w:val="center"/>
        <w:rPr>
          <w:rFonts w:cs="Arial"/>
          <w:color w:val="auto"/>
          <w:lang w:val="en-US"/>
        </w:rPr>
      </w:pPr>
    </w:p>
    <w:p w:rsidR="00AF3FEC" w:rsidRDefault="00AF3FEC" w:rsidP="00AF3FEC">
      <w:pPr>
        <w:jc w:val="center"/>
        <w:rPr>
          <w:rFonts w:cs="Arial"/>
          <w:color w:val="auto"/>
          <w:lang w:val="en-US"/>
        </w:rPr>
      </w:pPr>
    </w:p>
    <w:p w:rsidR="00AF3FEC" w:rsidRDefault="00AF3FEC" w:rsidP="00AF3FEC">
      <w:pPr>
        <w:jc w:val="center"/>
        <w:rPr>
          <w:rFonts w:cs="Arial"/>
          <w:color w:val="auto"/>
          <w:lang w:val="en-US"/>
        </w:rPr>
      </w:pPr>
    </w:p>
    <w:p w:rsidR="00AF3FEC" w:rsidRDefault="00AF3FEC" w:rsidP="00AF3FEC">
      <w:pPr>
        <w:jc w:val="center"/>
        <w:rPr>
          <w:rFonts w:cs="Arial"/>
          <w:color w:val="auto"/>
          <w:lang w:val="en-US"/>
        </w:rPr>
      </w:pPr>
    </w:p>
    <w:p w:rsidR="00AF3FEC" w:rsidRDefault="00AF3FEC" w:rsidP="00AF3FEC">
      <w:pPr>
        <w:jc w:val="center"/>
        <w:rPr>
          <w:rFonts w:cs="Arial"/>
          <w:color w:val="auto"/>
          <w:lang w:val="en-US"/>
        </w:rPr>
      </w:pPr>
    </w:p>
    <w:p w:rsidR="00AF3FEC" w:rsidRDefault="00AF3FEC" w:rsidP="00AF3FEC">
      <w:pPr>
        <w:jc w:val="center"/>
        <w:rPr>
          <w:rFonts w:cs="Arial"/>
          <w:color w:val="auto"/>
          <w:lang w:val="en-US"/>
        </w:rPr>
      </w:pPr>
    </w:p>
    <w:p w:rsidR="00AF3FEC" w:rsidRDefault="00AF3FEC" w:rsidP="00AF3FEC">
      <w:pPr>
        <w:jc w:val="center"/>
        <w:rPr>
          <w:rFonts w:cs="Arial"/>
          <w:color w:val="auto"/>
          <w:lang w:val="en-US"/>
        </w:rPr>
      </w:pPr>
    </w:p>
    <w:p w:rsidR="00AF3FEC" w:rsidRDefault="00AF3FEC" w:rsidP="00AF3FEC">
      <w:pPr>
        <w:jc w:val="center"/>
        <w:rPr>
          <w:rFonts w:cs="Arial"/>
          <w:color w:val="auto"/>
          <w:lang w:val="en-US"/>
        </w:rPr>
      </w:pPr>
      <w:r w:rsidRPr="00703D05">
        <w:rPr>
          <w:noProof/>
          <w:lang w:val="ka-GE" w:eastAsia="ka-GE"/>
        </w:rPr>
        <w:drawing>
          <wp:inline distT="0" distB="0" distL="0" distR="0">
            <wp:extent cx="5276850" cy="7419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6850" cy="7419975"/>
                    </a:xfrm>
                    <a:prstGeom prst="rect">
                      <a:avLst/>
                    </a:prstGeom>
                    <a:noFill/>
                    <a:ln>
                      <a:noFill/>
                    </a:ln>
                  </pic:spPr>
                </pic:pic>
              </a:graphicData>
            </a:graphic>
          </wp:inline>
        </w:drawing>
      </w:r>
    </w:p>
    <w:p w:rsidR="007C7A39" w:rsidRDefault="007C7A39"/>
    <w:sectPr w:rsidR="007C7A3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5FA" w:rsidRDefault="009645FA" w:rsidP="00CA2BF6">
      <w:pPr>
        <w:spacing w:line="240" w:lineRule="auto"/>
      </w:pPr>
      <w:r>
        <w:separator/>
      </w:r>
    </w:p>
  </w:endnote>
  <w:endnote w:type="continuationSeparator" w:id="0">
    <w:p w:rsidR="009645FA" w:rsidRDefault="009645FA" w:rsidP="00CA2B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altName w:val="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5FA" w:rsidRDefault="009645FA" w:rsidP="00CA2BF6">
      <w:pPr>
        <w:spacing w:line="240" w:lineRule="auto"/>
      </w:pPr>
      <w:r>
        <w:separator/>
      </w:r>
    </w:p>
  </w:footnote>
  <w:footnote w:type="continuationSeparator" w:id="0">
    <w:p w:rsidR="009645FA" w:rsidRDefault="009645FA" w:rsidP="00CA2BF6">
      <w:pPr>
        <w:spacing w:line="240" w:lineRule="auto"/>
      </w:pPr>
      <w:r>
        <w:continuationSeparator/>
      </w:r>
    </w:p>
  </w:footnote>
  <w:footnote w:id="1">
    <w:p w:rsidR="00CA2BF6" w:rsidRPr="008D0C1D" w:rsidRDefault="00CA2BF6" w:rsidP="00CA2BF6">
      <w:pPr>
        <w:rPr>
          <w:rFonts w:cs="Arial"/>
          <w:color w:val="auto"/>
          <w:sz w:val="16"/>
          <w:szCs w:val="16"/>
        </w:rPr>
      </w:pPr>
      <w:r w:rsidRPr="008D0C1D">
        <w:rPr>
          <w:rStyle w:val="FootnoteReference"/>
          <w:rFonts w:cs="Arial"/>
          <w:color w:val="auto"/>
          <w:sz w:val="16"/>
          <w:szCs w:val="16"/>
        </w:rPr>
        <w:footnoteRef/>
      </w:r>
      <w:r w:rsidRPr="008D0C1D">
        <w:rPr>
          <w:rFonts w:cs="Arial"/>
          <w:color w:val="auto"/>
          <w:sz w:val="16"/>
          <w:szCs w:val="16"/>
        </w:rPr>
        <w:t xml:space="preserve">All parties are kindly asked to note that there may an error in Annex 1 under Data for 2017: </w:t>
      </w:r>
    </w:p>
    <w:p w:rsidR="00CA2BF6" w:rsidRPr="008D0C1D" w:rsidRDefault="00CA2BF6" w:rsidP="00CA2BF6">
      <w:pPr>
        <w:rPr>
          <w:rFonts w:cs="Arial"/>
          <w:color w:val="auto"/>
          <w:sz w:val="16"/>
          <w:szCs w:val="16"/>
        </w:rPr>
      </w:pPr>
      <w:r w:rsidRPr="008D0C1D">
        <w:rPr>
          <w:rFonts w:cs="Arial"/>
          <w:color w:val="auto"/>
          <w:sz w:val="16"/>
          <w:szCs w:val="16"/>
        </w:rPr>
        <w:t xml:space="preserve">The text currently reads ‘Assessment in Q2 2018, target: 1.1.2. Published PAR Action-plan 2019-2020 providing the evidence specified under condition 1.1.2 above.’ </w:t>
      </w:r>
    </w:p>
    <w:p w:rsidR="00CA2BF6" w:rsidRPr="008D0C1D" w:rsidRDefault="00CA2BF6" w:rsidP="00CA2BF6">
      <w:pPr>
        <w:rPr>
          <w:rFonts w:cs="Arial"/>
          <w:color w:val="auto"/>
          <w:sz w:val="16"/>
          <w:szCs w:val="16"/>
        </w:rPr>
      </w:pPr>
      <w:r w:rsidRPr="008D0C1D">
        <w:rPr>
          <w:rFonts w:cs="Arial"/>
          <w:color w:val="auto"/>
          <w:sz w:val="16"/>
          <w:szCs w:val="16"/>
        </w:rPr>
        <w:t xml:space="preserve">Perhaps </w:t>
      </w:r>
      <w:r>
        <w:rPr>
          <w:rFonts w:cs="Arial"/>
          <w:color w:val="auto"/>
          <w:sz w:val="16"/>
          <w:szCs w:val="16"/>
        </w:rPr>
        <w:t>t</w:t>
      </w:r>
      <w:r w:rsidRPr="008D0C1D">
        <w:rPr>
          <w:rFonts w:cs="Arial"/>
          <w:color w:val="auto"/>
          <w:sz w:val="16"/>
          <w:szCs w:val="16"/>
        </w:rPr>
        <w:t xml:space="preserve">he text should more properly read, ‘Assessment in Q2 2018, target: 1.1.2. One Consolidated Report validated by PAR Council providing the evidence specified under condition 1.1.2 above.’ </w:t>
      </w:r>
    </w:p>
    <w:p w:rsidR="00CA2BF6" w:rsidRPr="008D0C1D" w:rsidRDefault="00CA2BF6" w:rsidP="00CA2BF6">
      <w:pPr>
        <w:pStyle w:val="FootnoteText"/>
        <w:rPr>
          <w:rFonts w:cs="Arial"/>
          <w:color w:val="auto"/>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552B8"/>
    <w:multiLevelType w:val="hybridMultilevel"/>
    <w:tmpl w:val="6BB42ED0"/>
    <w:lvl w:ilvl="0" w:tplc="281A0001">
      <w:start w:val="1"/>
      <w:numFmt w:val="bullet"/>
      <w:lvlText w:val=""/>
      <w:lvlJc w:val="left"/>
      <w:pPr>
        <w:ind w:left="1080" w:hanging="360"/>
      </w:pPr>
      <w:rPr>
        <w:rFonts w:ascii="Symbol" w:hAnsi="Symbol" w:hint="default"/>
      </w:rPr>
    </w:lvl>
    <w:lvl w:ilvl="1" w:tplc="281A0003" w:tentative="1">
      <w:start w:val="1"/>
      <w:numFmt w:val="bullet"/>
      <w:lvlText w:val="o"/>
      <w:lvlJc w:val="left"/>
      <w:pPr>
        <w:ind w:left="1800" w:hanging="360"/>
      </w:pPr>
      <w:rPr>
        <w:rFonts w:ascii="Courier New" w:hAnsi="Courier New" w:cs="Courier New" w:hint="default"/>
      </w:rPr>
    </w:lvl>
    <w:lvl w:ilvl="2" w:tplc="281A0005" w:tentative="1">
      <w:start w:val="1"/>
      <w:numFmt w:val="bullet"/>
      <w:lvlText w:val=""/>
      <w:lvlJc w:val="left"/>
      <w:pPr>
        <w:ind w:left="2520" w:hanging="360"/>
      </w:pPr>
      <w:rPr>
        <w:rFonts w:ascii="Wingdings" w:hAnsi="Wingdings" w:hint="default"/>
      </w:rPr>
    </w:lvl>
    <w:lvl w:ilvl="3" w:tplc="281A0001" w:tentative="1">
      <w:start w:val="1"/>
      <w:numFmt w:val="bullet"/>
      <w:lvlText w:val=""/>
      <w:lvlJc w:val="left"/>
      <w:pPr>
        <w:ind w:left="3240" w:hanging="360"/>
      </w:pPr>
      <w:rPr>
        <w:rFonts w:ascii="Symbol" w:hAnsi="Symbol" w:hint="default"/>
      </w:rPr>
    </w:lvl>
    <w:lvl w:ilvl="4" w:tplc="281A0003" w:tentative="1">
      <w:start w:val="1"/>
      <w:numFmt w:val="bullet"/>
      <w:lvlText w:val="o"/>
      <w:lvlJc w:val="left"/>
      <w:pPr>
        <w:ind w:left="3960" w:hanging="360"/>
      </w:pPr>
      <w:rPr>
        <w:rFonts w:ascii="Courier New" w:hAnsi="Courier New" w:cs="Courier New" w:hint="default"/>
      </w:rPr>
    </w:lvl>
    <w:lvl w:ilvl="5" w:tplc="281A0005" w:tentative="1">
      <w:start w:val="1"/>
      <w:numFmt w:val="bullet"/>
      <w:lvlText w:val=""/>
      <w:lvlJc w:val="left"/>
      <w:pPr>
        <w:ind w:left="4680" w:hanging="360"/>
      </w:pPr>
      <w:rPr>
        <w:rFonts w:ascii="Wingdings" w:hAnsi="Wingdings" w:hint="default"/>
      </w:rPr>
    </w:lvl>
    <w:lvl w:ilvl="6" w:tplc="281A0001" w:tentative="1">
      <w:start w:val="1"/>
      <w:numFmt w:val="bullet"/>
      <w:lvlText w:val=""/>
      <w:lvlJc w:val="left"/>
      <w:pPr>
        <w:ind w:left="5400" w:hanging="360"/>
      </w:pPr>
      <w:rPr>
        <w:rFonts w:ascii="Symbol" w:hAnsi="Symbol" w:hint="default"/>
      </w:rPr>
    </w:lvl>
    <w:lvl w:ilvl="7" w:tplc="281A0003" w:tentative="1">
      <w:start w:val="1"/>
      <w:numFmt w:val="bullet"/>
      <w:lvlText w:val="o"/>
      <w:lvlJc w:val="left"/>
      <w:pPr>
        <w:ind w:left="6120" w:hanging="360"/>
      </w:pPr>
      <w:rPr>
        <w:rFonts w:ascii="Courier New" w:hAnsi="Courier New" w:cs="Courier New" w:hint="default"/>
      </w:rPr>
    </w:lvl>
    <w:lvl w:ilvl="8" w:tplc="281A0005" w:tentative="1">
      <w:start w:val="1"/>
      <w:numFmt w:val="bullet"/>
      <w:lvlText w:val=""/>
      <w:lvlJc w:val="left"/>
      <w:pPr>
        <w:ind w:left="6840" w:hanging="360"/>
      </w:pPr>
      <w:rPr>
        <w:rFonts w:ascii="Wingdings" w:hAnsi="Wingdings" w:hint="default"/>
      </w:rPr>
    </w:lvl>
  </w:abstractNum>
  <w:abstractNum w:abstractNumId="1" w15:restartNumberingAfterBreak="0">
    <w:nsid w:val="12324B88"/>
    <w:multiLevelType w:val="hybridMultilevel"/>
    <w:tmpl w:val="323C8504"/>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61DCB17C">
      <w:start w:val="1"/>
      <w:numFmt w:val="decimal"/>
      <w:lvlText w:val="%3."/>
      <w:lvlJc w:val="left"/>
      <w:pPr>
        <w:ind w:left="2586" w:hanging="360"/>
      </w:pPr>
      <w:rPr>
        <w:rFonts w:ascii="Times New Roman" w:eastAsia="Times New Roman" w:hAnsi="Times New Roman" w:cs="Times New Roman"/>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470121E9"/>
    <w:multiLevelType w:val="hybridMultilevel"/>
    <w:tmpl w:val="59547AEA"/>
    <w:lvl w:ilvl="0" w:tplc="281A000F">
      <w:start w:val="1"/>
      <w:numFmt w:val="decimal"/>
      <w:lvlText w:val="%1."/>
      <w:lvlJc w:val="left"/>
      <w:pPr>
        <w:ind w:left="1080" w:hanging="360"/>
      </w:pPr>
      <w:rPr>
        <w:rFonts w:hint="default"/>
      </w:rPr>
    </w:lvl>
    <w:lvl w:ilvl="1" w:tplc="281A0019">
      <w:start w:val="1"/>
      <w:numFmt w:val="lowerLetter"/>
      <w:lvlText w:val="%2."/>
      <w:lvlJc w:val="left"/>
      <w:pPr>
        <w:ind w:left="1800" w:hanging="360"/>
      </w:pPr>
    </w:lvl>
    <w:lvl w:ilvl="2" w:tplc="281A001B">
      <w:start w:val="1"/>
      <w:numFmt w:val="lowerRoman"/>
      <w:lvlText w:val="%3."/>
      <w:lvlJc w:val="right"/>
      <w:pPr>
        <w:ind w:left="2520" w:hanging="180"/>
      </w:pPr>
      <w:rPr>
        <w:rFonts w:hint="default"/>
      </w:rPr>
    </w:lvl>
    <w:lvl w:ilvl="3" w:tplc="281A0001">
      <w:start w:val="1"/>
      <w:numFmt w:val="bullet"/>
      <w:lvlText w:val=""/>
      <w:lvlJc w:val="left"/>
      <w:pPr>
        <w:ind w:left="3240" w:hanging="360"/>
      </w:pPr>
      <w:rPr>
        <w:rFonts w:ascii="Symbol" w:hAnsi="Symbol" w:hint="default"/>
      </w:rPr>
    </w:lvl>
    <w:lvl w:ilvl="4" w:tplc="281A0003">
      <w:start w:val="1"/>
      <w:numFmt w:val="bullet"/>
      <w:lvlText w:val="o"/>
      <w:lvlJc w:val="left"/>
      <w:pPr>
        <w:ind w:left="3960" w:hanging="360"/>
      </w:pPr>
      <w:rPr>
        <w:rFonts w:ascii="Courier New" w:hAnsi="Courier New" w:cs="Courier New" w:hint="default"/>
      </w:r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3" w15:restartNumberingAfterBreak="0">
    <w:nsid w:val="47763515"/>
    <w:multiLevelType w:val="hybridMultilevel"/>
    <w:tmpl w:val="473AF494"/>
    <w:lvl w:ilvl="0" w:tplc="281A000F">
      <w:start w:val="1"/>
      <w:numFmt w:val="decimal"/>
      <w:lvlText w:val="%1."/>
      <w:lvlJc w:val="left"/>
      <w:pPr>
        <w:ind w:left="1080" w:hanging="360"/>
      </w:pPr>
      <w:rPr>
        <w:rFonts w:hint="default"/>
      </w:rPr>
    </w:lvl>
    <w:lvl w:ilvl="1" w:tplc="281A0019">
      <w:start w:val="1"/>
      <w:numFmt w:val="lowerLetter"/>
      <w:lvlText w:val="%2."/>
      <w:lvlJc w:val="left"/>
      <w:pPr>
        <w:ind w:left="1800" w:hanging="360"/>
      </w:pPr>
    </w:lvl>
    <w:lvl w:ilvl="2" w:tplc="281A0001">
      <w:start w:val="1"/>
      <w:numFmt w:val="bullet"/>
      <w:lvlText w:val=""/>
      <w:lvlJc w:val="left"/>
      <w:pPr>
        <w:ind w:left="2520" w:hanging="180"/>
      </w:pPr>
      <w:rPr>
        <w:rFonts w:ascii="Symbol" w:hAnsi="Symbol" w:hint="default"/>
      </w:r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4" w15:restartNumberingAfterBreak="0">
    <w:nsid w:val="54102A43"/>
    <w:multiLevelType w:val="hybridMultilevel"/>
    <w:tmpl w:val="27C0519A"/>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5" w15:restartNumberingAfterBreak="0">
    <w:nsid w:val="55C95486"/>
    <w:multiLevelType w:val="hybridMultilevel"/>
    <w:tmpl w:val="BB7AB562"/>
    <w:lvl w:ilvl="0" w:tplc="79DA15A0">
      <w:start w:val="1"/>
      <w:numFmt w:val="decimal"/>
      <w:lvlText w:val="%1."/>
      <w:lvlJc w:val="left"/>
      <w:pPr>
        <w:ind w:left="720" w:hanging="360"/>
      </w:pPr>
      <w:rPr>
        <w:rFonts w:cs="Calibri" w:hint="default"/>
      </w:rPr>
    </w:lvl>
    <w:lvl w:ilvl="1" w:tplc="003C43B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18558D"/>
    <w:multiLevelType w:val="hybridMultilevel"/>
    <w:tmpl w:val="BFF01048"/>
    <w:lvl w:ilvl="0" w:tplc="08090003">
      <w:start w:val="1"/>
      <w:numFmt w:val="bullet"/>
      <w:lvlText w:val="o"/>
      <w:lvlJc w:val="left"/>
      <w:pPr>
        <w:ind w:left="1866"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79F44EB9"/>
    <w:multiLevelType w:val="multilevel"/>
    <w:tmpl w:val="CB480D78"/>
    <w:lvl w:ilvl="0">
      <w:start w:val="1"/>
      <w:numFmt w:val="decimal"/>
      <w:pStyle w:val="Heading1"/>
      <w:lvlText w:val="%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0"/>
  </w:num>
  <w:num w:numId="6">
    <w:abstractNumId w:val="2"/>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BF6"/>
    <w:rsid w:val="001A1FE3"/>
    <w:rsid w:val="007C7A39"/>
    <w:rsid w:val="009645FA"/>
    <w:rsid w:val="00AF3FEC"/>
    <w:rsid w:val="00CA2BF6"/>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4C4067-4048-4B80-AD88-53719A86D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BF6"/>
    <w:pPr>
      <w:autoSpaceDE w:val="0"/>
      <w:autoSpaceDN w:val="0"/>
      <w:adjustRightInd w:val="0"/>
      <w:spacing w:after="0" w:line="312" w:lineRule="auto"/>
      <w:jc w:val="both"/>
    </w:pPr>
    <w:rPr>
      <w:rFonts w:ascii="Arial" w:eastAsia="Calibri" w:hAnsi="Arial" w:cs="ArialMT"/>
      <w:color w:val="000000"/>
      <w:sz w:val="20"/>
      <w:szCs w:val="20"/>
      <w:lang w:val="en-GB"/>
    </w:rPr>
  </w:style>
  <w:style w:type="paragraph" w:styleId="Heading1">
    <w:name w:val="heading 1"/>
    <w:basedOn w:val="Normal"/>
    <w:next w:val="Normal"/>
    <w:link w:val="Heading1Char"/>
    <w:qFormat/>
    <w:rsid w:val="00CA2BF6"/>
    <w:pPr>
      <w:numPr>
        <w:numId w:val="1"/>
      </w:numPr>
      <w:shd w:val="clear" w:color="auto" w:fill="004686"/>
      <w:outlineLvl w:val="0"/>
    </w:pPr>
    <w:rPr>
      <w:rFonts w:cs="Times New Roman"/>
      <w:b/>
      <w:smallCaps/>
      <w:noProof/>
      <w:color w:val="D7E4FC"/>
      <w:sz w:val="32"/>
      <w:szCs w:val="32"/>
      <w:lang w:val="x-none" w:eastAsia="de-DE"/>
    </w:rPr>
  </w:style>
  <w:style w:type="paragraph" w:styleId="Heading2">
    <w:name w:val="heading 2"/>
    <w:basedOn w:val="Normal"/>
    <w:next w:val="Normal"/>
    <w:link w:val="Heading2Char"/>
    <w:uiPriority w:val="9"/>
    <w:qFormat/>
    <w:rsid w:val="00CA2BF6"/>
    <w:pPr>
      <w:numPr>
        <w:ilvl w:val="1"/>
        <w:numId w:val="1"/>
      </w:numPr>
      <w:pBdr>
        <w:top w:val="single" w:sz="4" w:space="1" w:color="88ADCD"/>
        <w:left w:val="single" w:sz="4" w:space="4" w:color="88ADCD"/>
        <w:bottom w:val="single" w:sz="4" w:space="1" w:color="88ADCD"/>
        <w:right w:val="single" w:sz="4" w:space="4" w:color="88ADCD"/>
      </w:pBdr>
      <w:shd w:val="clear" w:color="auto" w:fill="88ADCD"/>
      <w:tabs>
        <w:tab w:val="left" w:pos="993"/>
      </w:tabs>
      <w:spacing w:before="120" w:after="120" w:line="360" w:lineRule="auto"/>
      <w:ind w:hanging="150"/>
      <w:outlineLvl w:val="1"/>
    </w:pPr>
    <w:rPr>
      <w:rFonts w:cs="Times New Roman"/>
      <w:b/>
      <w:color w:val="4376A0"/>
      <w:sz w:val="28"/>
      <w:szCs w:val="28"/>
      <w:lang w:val="x-none"/>
    </w:rPr>
  </w:style>
  <w:style w:type="paragraph" w:styleId="Heading3">
    <w:name w:val="heading 3"/>
    <w:basedOn w:val="Normal"/>
    <w:next w:val="Normal"/>
    <w:link w:val="Heading3Char"/>
    <w:uiPriority w:val="9"/>
    <w:qFormat/>
    <w:rsid w:val="00CA2BF6"/>
    <w:pPr>
      <w:numPr>
        <w:ilvl w:val="2"/>
        <w:numId w:val="1"/>
      </w:numPr>
      <w:shd w:val="clear" w:color="auto" w:fill="BFC7D5"/>
      <w:tabs>
        <w:tab w:val="left" w:pos="1701"/>
      </w:tabs>
      <w:ind w:firstLine="273"/>
      <w:outlineLvl w:val="2"/>
    </w:pPr>
    <w:rPr>
      <w:rFonts w:cs="Times New Roman"/>
      <w:b/>
      <w:color w:val="595959"/>
      <w:sz w:val="24"/>
      <w:szCs w:val="24"/>
      <w:lang w:val="x-none"/>
    </w:rPr>
  </w:style>
  <w:style w:type="paragraph" w:styleId="Heading4">
    <w:name w:val="heading 4"/>
    <w:basedOn w:val="Normal"/>
    <w:next w:val="Normal"/>
    <w:link w:val="Heading4Char"/>
    <w:uiPriority w:val="9"/>
    <w:qFormat/>
    <w:rsid w:val="00CA2BF6"/>
    <w:pPr>
      <w:numPr>
        <w:ilvl w:val="3"/>
        <w:numId w:val="1"/>
      </w:numPr>
      <w:shd w:val="clear" w:color="auto" w:fill="E3FBFD"/>
      <w:spacing w:line="240" w:lineRule="auto"/>
      <w:ind w:left="1560" w:firstLine="283"/>
      <w:outlineLvl w:val="3"/>
    </w:pPr>
    <w:rPr>
      <w:rFonts w:cs="Times New Roman"/>
      <w:b/>
      <w:color w:val="0D8A97"/>
      <w:sz w:val="22"/>
      <w:szCs w:val="22"/>
      <w:lang w:val="x-none"/>
    </w:rPr>
  </w:style>
  <w:style w:type="paragraph" w:styleId="Heading5">
    <w:name w:val="heading 5"/>
    <w:basedOn w:val="Normal"/>
    <w:next w:val="Normal"/>
    <w:link w:val="Heading5Char"/>
    <w:uiPriority w:val="9"/>
    <w:qFormat/>
    <w:rsid w:val="00CA2BF6"/>
    <w:pPr>
      <w:keepNext/>
      <w:keepLines/>
      <w:numPr>
        <w:ilvl w:val="4"/>
        <w:numId w:val="1"/>
      </w:numPr>
      <w:spacing w:before="200"/>
      <w:outlineLvl w:val="4"/>
    </w:pPr>
    <w:rPr>
      <w:rFonts w:ascii="Cambria" w:eastAsia="Times New Roman" w:hAnsi="Cambria" w:cs="Times New Roman"/>
      <w:color w:val="002242"/>
      <w:lang w:val="x-none"/>
    </w:rPr>
  </w:style>
  <w:style w:type="paragraph" w:styleId="Heading6">
    <w:name w:val="heading 6"/>
    <w:basedOn w:val="Normal"/>
    <w:next w:val="Normal"/>
    <w:link w:val="Heading6Char"/>
    <w:uiPriority w:val="9"/>
    <w:qFormat/>
    <w:rsid w:val="00CA2BF6"/>
    <w:pPr>
      <w:keepNext/>
      <w:keepLines/>
      <w:numPr>
        <w:ilvl w:val="5"/>
        <w:numId w:val="1"/>
      </w:numPr>
      <w:spacing w:before="200"/>
      <w:outlineLvl w:val="5"/>
    </w:pPr>
    <w:rPr>
      <w:rFonts w:ascii="Cambria" w:eastAsia="Times New Roman" w:hAnsi="Cambria" w:cs="Times New Roman"/>
      <w:i/>
      <w:iCs/>
      <w:color w:val="002242"/>
      <w:lang w:val="x-none"/>
    </w:rPr>
  </w:style>
  <w:style w:type="paragraph" w:styleId="Heading7">
    <w:name w:val="heading 7"/>
    <w:basedOn w:val="Normal"/>
    <w:next w:val="Normal"/>
    <w:link w:val="Heading7Char"/>
    <w:uiPriority w:val="9"/>
    <w:qFormat/>
    <w:rsid w:val="00CA2BF6"/>
    <w:pPr>
      <w:keepNext/>
      <w:keepLines/>
      <w:numPr>
        <w:ilvl w:val="6"/>
        <w:numId w:val="1"/>
      </w:numPr>
      <w:spacing w:before="200"/>
      <w:outlineLvl w:val="6"/>
    </w:pPr>
    <w:rPr>
      <w:rFonts w:ascii="Cambria" w:eastAsia="Times New Roman" w:hAnsi="Cambria" w:cs="Times New Roman"/>
      <w:i/>
      <w:iCs/>
      <w:color w:val="404040"/>
      <w:lang w:val="x-none"/>
    </w:rPr>
  </w:style>
  <w:style w:type="paragraph" w:styleId="Heading8">
    <w:name w:val="heading 8"/>
    <w:basedOn w:val="Normal"/>
    <w:next w:val="Normal"/>
    <w:link w:val="Heading8Char"/>
    <w:uiPriority w:val="9"/>
    <w:qFormat/>
    <w:rsid w:val="00CA2BF6"/>
    <w:pPr>
      <w:keepNext/>
      <w:keepLines/>
      <w:numPr>
        <w:ilvl w:val="7"/>
        <w:numId w:val="1"/>
      </w:numPr>
      <w:spacing w:before="200"/>
      <w:outlineLvl w:val="7"/>
    </w:pPr>
    <w:rPr>
      <w:rFonts w:ascii="Cambria" w:eastAsia="Times New Roman" w:hAnsi="Cambria" w:cs="Times New Roman"/>
      <w:color w:val="404040"/>
      <w:lang w:val="x-none"/>
    </w:rPr>
  </w:style>
  <w:style w:type="paragraph" w:styleId="Heading9">
    <w:name w:val="heading 9"/>
    <w:basedOn w:val="Normal"/>
    <w:next w:val="Normal"/>
    <w:link w:val="Heading9Char"/>
    <w:uiPriority w:val="9"/>
    <w:qFormat/>
    <w:rsid w:val="00CA2BF6"/>
    <w:pPr>
      <w:keepNext/>
      <w:keepLines/>
      <w:numPr>
        <w:ilvl w:val="8"/>
        <w:numId w:val="1"/>
      </w:numPr>
      <w:spacing w:before="200"/>
      <w:outlineLvl w:val="8"/>
    </w:pPr>
    <w:rPr>
      <w:rFonts w:ascii="Cambria" w:eastAsia="Times New Roman" w:hAnsi="Cambria" w:cs="Times New Roman"/>
      <w:i/>
      <w:iCs/>
      <w:color w:val="40404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A1FE3"/>
    <w:rPr>
      <w:b/>
      <w:bCs/>
    </w:rPr>
  </w:style>
  <w:style w:type="paragraph" w:styleId="ListParagraph">
    <w:name w:val="List Paragraph"/>
    <w:basedOn w:val="Normal"/>
    <w:uiPriority w:val="34"/>
    <w:qFormat/>
    <w:rsid w:val="001A1FE3"/>
    <w:pPr>
      <w:ind w:left="720"/>
    </w:pPr>
    <w:rPr>
      <w:rFonts w:ascii="Calibri" w:hAnsi="Calibri" w:cs="Times New Roman"/>
      <w:lang w:eastAsia="ka-GE"/>
    </w:rPr>
  </w:style>
  <w:style w:type="character" w:styleId="SubtleReference">
    <w:name w:val="Subtle Reference"/>
    <w:basedOn w:val="DefaultParagraphFont"/>
    <w:uiPriority w:val="31"/>
    <w:qFormat/>
    <w:rsid w:val="001A1FE3"/>
    <w:rPr>
      <w:smallCaps/>
      <w:color w:val="5A5A5A" w:themeColor="text1" w:themeTint="A5"/>
    </w:rPr>
  </w:style>
  <w:style w:type="character" w:styleId="IntenseReference">
    <w:name w:val="Intense Reference"/>
    <w:basedOn w:val="DefaultParagraphFont"/>
    <w:uiPriority w:val="32"/>
    <w:qFormat/>
    <w:rsid w:val="001A1FE3"/>
    <w:rPr>
      <w:b/>
      <w:bCs/>
      <w:smallCaps/>
      <w:color w:val="0F6FC6" w:themeColor="accent1"/>
      <w:spacing w:val="5"/>
    </w:rPr>
  </w:style>
  <w:style w:type="character" w:styleId="BookTitle">
    <w:name w:val="Book Title"/>
    <w:basedOn w:val="DefaultParagraphFont"/>
    <w:uiPriority w:val="33"/>
    <w:qFormat/>
    <w:rsid w:val="001A1FE3"/>
    <w:rPr>
      <w:b/>
      <w:bCs/>
      <w:i/>
      <w:iCs/>
      <w:spacing w:val="5"/>
    </w:rPr>
  </w:style>
  <w:style w:type="character" w:customStyle="1" w:styleId="Heading1Char">
    <w:name w:val="Heading 1 Char"/>
    <w:basedOn w:val="DefaultParagraphFont"/>
    <w:link w:val="Heading1"/>
    <w:rsid w:val="00CA2BF6"/>
    <w:rPr>
      <w:rFonts w:ascii="Arial" w:eastAsia="Calibri" w:hAnsi="Arial" w:cs="Times New Roman"/>
      <w:b/>
      <w:smallCaps/>
      <w:noProof/>
      <w:color w:val="D7E4FC"/>
      <w:sz w:val="32"/>
      <w:szCs w:val="32"/>
      <w:shd w:val="clear" w:color="auto" w:fill="004686"/>
      <w:lang w:val="x-none" w:eastAsia="de-DE"/>
    </w:rPr>
  </w:style>
  <w:style w:type="character" w:customStyle="1" w:styleId="Heading2Char">
    <w:name w:val="Heading 2 Char"/>
    <w:basedOn w:val="DefaultParagraphFont"/>
    <w:link w:val="Heading2"/>
    <w:uiPriority w:val="9"/>
    <w:rsid w:val="00CA2BF6"/>
    <w:rPr>
      <w:rFonts w:ascii="Arial" w:eastAsia="Calibri" w:hAnsi="Arial" w:cs="Times New Roman"/>
      <w:b/>
      <w:color w:val="4376A0"/>
      <w:sz w:val="28"/>
      <w:szCs w:val="28"/>
      <w:shd w:val="clear" w:color="auto" w:fill="88ADCD"/>
      <w:lang w:val="x-none"/>
    </w:rPr>
  </w:style>
  <w:style w:type="character" w:customStyle="1" w:styleId="Heading3Char">
    <w:name w:val="Heading 3 Char"/>
    <w:basedOn w:val="DefaultParagraphFont"/>
    <w:link w:val="Heading3"/>
    <w:uiPriority w:val="9"/>
    <w:rsid w:val="00CA2BF6"/>
    <w:rPr>
      <w:rFonts w:ascii="Arial" w:eastAsia="Calibri" w:hAnsi="Arial" w:cs="Times New Roman"/>
      <w:b/>
      <w:color w:val="595959"/>
      <w:sz w:val="24"/>
      <w:szCs w:val="24"/>
      <w:shd w:val="clear" w:color="auto" w:fill="BFC7D5"/>
      <w:lang w:val="x-none"/>
    </w:rPr>
  </w:style>
  <w:style w:type="character" w:customStyle="1" w:styleId="Heading4Char">
    <w:name w:val="Heading 4 Char"/>
    <w:basedOn w:val="DefaultParagraphFont"/>
    <w:link w:val="Heading4"/>
    <w:uiPriority w:val="9"/>
    <w:rsid w:val="00CA2BF6"/>
    <w:rPr>
      <w:rFonts w:ascii="Arial" w:eastAsia="Calibri" w:hAnsi="Arial" w:cs="Times New Roman"/>
      <w:b/>
      <w:color w:val="0D8A97"/>
      <w:shd w:val="clear" w:color="auto" w:fill="E3FBFD"/>
      <w:lang w:val="x-none"/>
    </w:rPr>
  </w:style>
  <w:style w:type="character" w:customStyle="1" w:styleId="Heading5Char">
    <w:name w:val="Heading 5 Char"/>
    <w:basedOn w:val="DefaultParagraphFont"/>
    <w:link w:val="Heading5"/>
    <w:uiPriority w:val="9"/>
    <w:rsid w:val="00CA2BF6"/>
    <w:rPr>
      <w:rFonts w:ascii="Cambria" w:eastAsia="Times New Roman" w:hAnsi="Cambria" w:cs="Times New Roman"/>
      <w:color w:val="002242"/>
      <w:sz w:val="20"/>
      <w:szCs w:val="20"/>
      <w:lang w:val="x-none"/>
    </w:rPr>
  </w:style>
  <w:style w:type="character" w:customStyle="1" w:styleId="Heading6Char">
    <w:name w:val="Heading 6 Char"/>
    <w:basedOn w:val="DefaultParagraphFont"/>
    <w:link w:val="Heading6"/>
    <w:uiPriority w:val="9"/>
    <w:rsid w:val="00CA2BF6"/>
    <w:rPr>
      <w:rFonts w:ascii="Cambria" w:eastAsia="Times New Roman" w:hAnsi="Cambria" w:cs="Times New Roman"/>
      <w:i/>
      <w:iCs/>
      <w:color w:val="002242"/>
      <w:sz w:val="20"/>
      <w:szCs w:val="20"/>
      <w:lang w:val="x-none"/>
    </w:rPr>
  </w:style>
  <w:style w:type="character" w:customStyle="1" w:styleId="Heading7Char">
    <w:name w:val="Heading 7 Char"/>
    <w:basedOn w:val="DefaultParagraphFont"/>
    <w:link w:val="Heading7"/>
    <w:uiPriority w:val="9"/>
    <w:rsid w:val="00CA2BF6"/>
    <w:rPr>
      <w:rFonts w:ascii="Cambria" w:eastAsia="Times New Roman" w:hAnsi="Cambria" w:cs="Times New Roman"/>
      <w:i/>
      <w:iCs/>
      <w:color w:val="404040"/>
      <w:sz w:val="20"/>
      <w:szCs w:val="20"/>
      <w:lang w:val="x-none"/>
    </w:rPr>
  </w:style>
  <w:style w:type="character" w:customStyle="1" w:styleId="Heading8Char">
    <w:name w:val="Heading 8 Char"/>
    <w:basedOn w:val="DefaultParagraphFont"/>
    <w:link w:val="Heading8"/>
    <w:uiPriority w:val="9"/>
    <w:rsid w:val="00CA2BF6"/>
    <w:rPr>
      <w:rFonts w:ascii="Cambria" w:eastAsia="Times New Roman" w:hAnsi="Cambria" w:cs="Times New Roman"/>
      <w:color w:val="404040"/>
      <w:sz w:val="20"/>
      <w:szCs w:val="20"/>
      <w:lang w:val="x-none"/>
    </w:rPr>
  </w:style>
  <w:style w:type="character" w:customStyle="1" w:styleId="Heading9Char">
    <w:name w:val="Heading 9 Char"/>
    <w:basedOn w:val="DefaultParagraphFont"/>
    <w:link w:val="Heading9"/>
    <w:uiPriority w:val="9"/>
    <w:rsid w:val="00CA2BF6"/>
    <w:rPr>
      <w:rFonts w:ascii="Cambria" w:eastAsia="Times New Roman" w:hAnsi="Cambria" w:cs="Times New Roman"/>
      <w:i/>
      <w:iCs/>
      <w:color w:val="404040"/>
      <w:sz w:val="20"/>
      <w:szCs w:val="20"/>
      <w:lang w:val="x-none"/>
    </w:rPr>
  </w:style>
  <w:style w:type="paragraph" w:styleId="FootnoteText">
    <w:name w:val="footnote text"/>
    <w:aliases w:val="single space,footnote text,Footnotes,Footnote Text Char Char Char,Footnote Text Char Char,ft Char,Footnote Text Char Char Char Char Char Char Char Char,Footnote Text Char Char Char Char1 Char,f,FOOTNOTES,fn,Fußnotentext Char,ADB"/>
    <w:basedOn w:val="Normal"/>
    <w:link w:val="FootnoteTextChar"/>
    <w:uiPriority w:val="99"/>
    <w:qFormat/>
    <w:rsid w:val="00CA2BF6"/>
    <w:rPr>
      <w:rFonts w:cs="Times New Roman"/>
      <w:color w:val="595959"/>
      <w:sz w:val="18"/>
    </w:rPr>
  </w:style>
  <w:style w:type="character" w:customStyle="1" w:styleId="FootnoteTextChar">
    <w:name w:val="Footnote Text Char"/>
    <w:aliases w:val="single space Char,footnote text Char,Footnotes Char,Footnote Text Char Char Char Char,Footnote Text Char Char Char1,ft Char Char,Footnote Text Char Char Char Char Char Char Char Char Char,Footnote Text Char Char Char Char1 Char Char"/>
    <w:basedOn w:val="DefaultParagraphFont"/>
    <w:link w:val="FootnoteText"/>
    <w:uiPriority w:val="99"/>
    <w:rsid w:val="00CA2BF6"/>
    <w:rPr>
      <w:rFonts w:ascii="Arial" w:eastAsia="Calibri" w:hAnsi="Arial" w:cs="Times New Roman"/>
      <w:color w:val="595959"/>
      <w:sz w:val="18"/>
      <w:szCs w:val="20"/>
      <w:lang w:val="en-GB"/>
    </w:rPr>
  </w:style>
  <w:style w:type="character" w:styleId="Hyperlink">
    <w:name w:val="Hyperlink"/>
    <w:uiPriority w:val="99"/>
    <w:unhideWhenUsed/>
    <w:rsid w:val="00CA2BF6"/>
    <w:rPr>
      <w:color w:val="7F7F7F"/>
      <w:u w:val="single"/>
    </w:rPr>
  </w:style>
  <w:style w:type="paragraph" w:customStyle="1" w:styleId="GeneralHeading">
    <w:name w:val="General Heading"/>
    <w:basedOn w:val="Heading1"/>
    <w:qFormat/>
    <w:rsid w:val="00CA2BF6"/>
    <w:pPr>
      <w:numPr>
        <w:numId w:val="0"/>
      </w:numPr>
      <w:ind w:left="-567" w:firstLine="567"/>
    </w:pPr>
  </w:style>
  <w:style w:type="character" w:styleId="FootnoteReference">
    <w:name w:val="footnote reference"/>
    <w:aliases w:val="BVI fnr,ftref,ftref Char,BVI fnr Char,BVI fnr Car Char,Char Char Car Char,Char Char Char Char Char Char Char Char Char Char Char Char Char Char Char Char Char Char Char Char Car Char,16 Point Char, Char Char,Char Char,fr,R,16 Point,Re"/>
    <w:link w:val="BVIfnrCarCarCarCarChar"/>
    <w:uiPriority w:val="99"/>
    <w:unhideWhenUsed/>
    <w:qFormat/>
    <w:rsid w:val="00CA2BF6"/>
    <w:rPr>
      <w:vertAlign w:val="superscript"/>
    </w:rPr>
  </w:style>
  <w:style w:type="paragraph" w:customStyle="1" w:styleId="BVIfnrCarCarCarCarChar">
    <w:name w:val="BVI fnr Car Car Car Car Char"/>
    <w:basedOn w:val="Normal"/>
    <w:link w:val="FootnoteReference"/>
    <w:uiPriority w:val="99"/>
    <w:rsid w:val="00CA2BF6"/>
    <w:pPr>
      <w:autoSpaceDE/>
      <w:autoSpaceDN/>
      <w:adjustRightInd/>
      <w:spacing w:after="160" w:line="240" w:lineRule="exact"/>
      <w:jc w:val="left"/>
    </w:pPr>
    <w:rPr>
      <w:rFonts w:asciiTheme="minorHAnsi" w:eastAsiaTheme="minorHAnsi" w:hAnsiTheme="minorHAnsi" w:cstheme="minorBidi"/>
      <w:color w:val="auto"/>
      <w:sz w:val="22"/>
      <w:szCs w:val="22"/>
      <w:vertAlign w:val="superscript"/>
      <w:lang w:val="ka-GE"/>
    </w:rPr>
  </w:style>
  <w:style w:type="paragraph" w:styleId="CommentText">
    <w:name w:val="annotation text"/>
    <w:basedOn w:val="Normal"/>
    <w:link w:val="CommentTextChar"/>
    <w:uiPriority w:val="99"/>
    <w:unhideWhenUsed/>
    <w:rsid w:val="00CA2BF6"/>
    <w:pPr>
      <w:autoSpaceDE/>
      <w:autoSpaceDN/>
      <w:adjustRightInd/>
      <w:spacing w:line="240" w:lineRule="auto"/>
      <w:jc w:val="left"/>
    </w:pPr>
    <w:rPr>
      <w:rFonts w:ascii="Cambria" w:eastAsia="Times New Roman" w:hAnsi="Cambria" w:cs="Times New Roman"/>
      <w:color w:val="auto"/>
      <w:lang w:val="it-IT" w:eastAsia="x-none"/>
    </w:rPr>
  </w:style>
  <w:style w:type="character" w:customStyle="1" w:styleId="CommentTextChar">
    <w:name w:val="Comment Text Char"/>
    <w:basedOn w:val="DefaultParagraphFont"/>
    <w:link w:val="CommentText"/>
    <w:uiPriority w:val="99"/>
    <w:rsid w:val="00CA2BF6"/>
    <w:rPr>
      <w:rFonts w:ascii="Cambria" w:eastAsia="Times New Roman" w:hAnsi="Cambria" w:cs="Times New Roman"/>
      <w:sz w:val="20"/>
      <w:szCs w:val="20"/>
      <w:lang w:val="it-IT"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dc.ge/Pages/User/Documents.aspx?ID=33a11d14-e71c-4b28-ad39-d6670090664c"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1952</Words>
  <Characters>11128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Danelia</dc:creator>
  <cp:keywords/>
  <dc:description/>
  <cp:lastModifiedBy>Mariam Danelia</cp:lastModifiedBy>
  <cp:revision>1</cp:revision>
  <dcterms:created xsi:type="dcterms:W3CDTF">2019-03-13T09:57:00Z</dcterms:created>
  <dcterms:modified xsi:type="dcterms:W3CDTF">2019-03-13T10:11:00Z</dcterms:modified>
</cp:coreProperties>
</file>